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6641609" w:displacedByCustomXml="next"/>
    <w:sdt>
      <w:sdtPr>
        <w:rPr>
          <w:rFonts w:asciiTheme="minorHAnsi" w:eastAsiaTheme="minorHAnsi" w:hAnsiTheme="minorHAnsi" w:cstheme="minorBidi"/>
          <w:color w:val="auto"/>
          <w:sz w:val="22"/>
          <w:szCs w:val="22"/>
        </w:rPr>
        <w:id w:val="-1127236773"/>
        <w:docPartObj>
          <w:docPartGallery w:val="Table of Contents"/>
          <w:docPartUnique/>
        </w:docPartObj>
      </w:sdtPr>
      <w:sdtEndPr>
        <w:rPr>
          <w:b/>
          <w:bCs/>
          <w:noProof/>
        </w:rPr>
      </w:sdtEndPr>
      <w:sdtContent>
        <w:p w14:paraId="54C4AEC7" w14:textId="029B84C6" w:rsidR="00F96B29" w:rsidRPr="00FB6B8D" w:rsidRDefault="00F96B29" w:rsidP="00F96B29">
          <w:pPr>
            <w:pStyle w:val="TOCHeading"/>
            <w:jc w:val="center"/>
            <w:rPr>
              <w:color w:val="auto"/>
              <w:sz w:val="36"/>
            </w:rPr>
          </w:pPr>
          <w:r w:rsidRPr="00FB6B8D">
            <w:rPr>
              <w:color w:val="auto"/>
              <w:sz w:val="36"/>
            </w:rPr>
            <w:t>Table of Contents</w:t>
          </w:r>
        </w:p>
        <w:p w14:paraId="1B661741" w14:textId="298E2B68" w:rsidR="00F96B29" w:rsidRDefault="00F96B29" w:rsidP="00F96B29">
          <w:pPr>
            <w:pStyle w:val="TOC1"/>
          </w:pPr>
        </w:p>
        <w:p w14:paraId="51824724" w14:textId="77777777" w:rsidR="00F96B29" w:rsidRDefault="00F96B29" w:rsidP="00F96B29">
          <w:pPr>
            <w:pStyle w:val="TOC1"/>
          </w:pPr>
        </w:p>
        <w:p w14:paraId="0DFFDC9C" w14:textId="27265D28" w:rsidR="00F96B29" w:rsidRPr="00F96B29" w:rsidRDefault="00F96B29" w:rsidP="00F96B29">
          <w:pPr>
            <w:pStyle w:val="TOC1"/>
            <w:rPr>
              <w:rStyle w:val="Hyperlink"/>
              <w:color w:val="auto"/>
              <w:u w:val="none"/>
            </w:rPr>
          </w:pPr>
        </w:p>
        <w:p w14:paraId="3BFE347B" w14:textId="7B079DE1" w:rsidR="00920FB5" w:rsidRDefault="00F96B29">
          <w:pPr>
            <w:pStyle w:val="TOC1"/>
            <w:rPr>
              <w:rFonts w:asciiTheme="minorHAnsi" w:eastAsiaTheme="minorEastAsia" w:hAnsiTheme="minorHAnsi"/>
            </w:rPr>
          </w:pPr>
          <w:r>
            <w:rPr>
              <w:b/>
              <w:bCs/>
            </w:rPr>
            <w:fldChar w:fldCharType="begin"/>
          </w:r>
          <w:r>
            <w:rPr>
              <w:b/>
              <w:bCs/>
            </w:rPr>
            <w:instrText xml:space="preserve"> TOC \o "1-3" \h \z \u </w:instrText>
          </w:r>
          <w:r>
            <w:rPr>
              <w:b/>
              <w:bCs/>
            </w:rPr>
            <w:fldChar w:fldCharType="separate"/>
          </w:r>
          <w:hyperlink w:anchor="_Toc523909724" w:history="1">
            <w:r w:rsidR="00920FB5" w:rsidRPr="009E6B5B">
              <w:rPr>
                <w:rStyle w:val="Hyperlink"/>
              </w:rPr>
              <w:t>Preface</w:t>
            </w:r>
            <w:r w:rsidR="00920FB5">
              <w:rPr>
                <w:webHidden/>
              </w:rPr>
              <w:tab/>
            </w:r>
            <w:r w:rsidR="00920FB5">
              <w:rPr>
                <w:webHidden/>
              </w:rPr>
              <w:fldChar w:fldCharType="begin"/>
            </w:r>
            <w:r w:rsidR="00920FB5">
              <w:rPr>
                <w:webHidden/>
              </w:rPr>
              <w:instrText xml:space="preserve"> PAGEREF _Toc523909724 \h </w:instrText>
            </w:r>
            <w:r w:rsidR="00920FB5">
              <w:rPr>
                <w:webHidden/>
              </w:rPr>
            </w:r>
            <w:r w:rsidR="00920FB5">
              <w:rPr>
                <w:webHidden/>
              </w:rPr>
              <w:fldChar w:fldCharType="separate"/>
            </w:r>
            <w:r w:rsidR="00920FB5">
              <w:rPr>
                <w:webHidden/>
              </w:rPr>
              <w:t>2</w:t>
            </w:r>
            <w:r w:rsidR="00920FB5">
              <w:rPr>
                <w:webHidden/>
              </w:rPr>
              <w:fldChar w:fldCharType="end"/>
            </w:r>
          </w:hyperlink>
        </w:p>
        <w:p w14:paraId="22302D93" w14:textId="7A77A85F" w:rsidR="00920FB5" w:rsidRDefault="00920FB5">
          <w:pPr>
            <w:pStyle w:val="TOC1"/>
            <w:rPr>
              <w:rFonts w:asciiTheme="minorHAnsi" w:eastAsiaTheme="minorEastAsia" w:hAnsiTheme="minorHAnsi"/>
            </w:rPr>
          </w:pPr>
          <w:hyperlink w:anchor="_Toc523909725" w:history="1">
            <w:r w:rsidRPr="009E6B5B">
              <w:rPr>
                <w:rStyle w:val="Hyperlink"/>
                <w:rFonts w:eastAsia="Calibri"/>
              </w:rPr>
              <w:t>Chapter One: Theological Support for Local Dialogue</w:t>
            </w:r>
            <w:r>
              <w:rPr>
                <w:webHidden/>
              </w:rPr>
              <w:tab/>
            </w:r>
            <w:r>
              <w:rPr>
                <w:webHidden/>
              </w:rPr>
              <w:fldChar w:fldCharType="begin"/>
            </w:r>
            <w:r>
              <w:rPr>
                <w:webHidden/>
              </w:rPr>
              <w:instrText xml:space="preserve"> PAGEREF _Toc523909725 \h </w:instrText>
            </w:r>
            <w:r>
              <w:rPr>
                <w:webHidden/>
              </w:rPr>
            </w:r>
            <w:r>
              <w:rPr>
                <w:webHidden/>
              </w:rPr>
              <w:fldChar w:fldCharType="separate"/>
            </w:r>
            <w:r>
              <w:rPr>
                <w:webHidden/>
              </w:rPr>
              <w:t>8</w:t>
            </w:r>
            <w:r>
              <w:rPr>
                <w:webHidden/>
              </w:rPr>
              <w:fldChar w:fldCharType="end"/>
            </w:r>
          </w:hyperlink>
        </w:p>
        <w:bookmarkStart w:id="1" w:name="_GoBack"/>
        <w:p w14:paraId="2D51208B" w14:textId="3A736655" w:rsidR="00920FB5" w:rsidRDefault="00920FB5">
          <w:pPr>
            <w:pStyle w:val="TOC2"/>
            <w:tabs>
              <w:tab w:val="right" w:leader="dot" w:pos="9350"/>
            </w:tabs>
            <w:rPr>
              <w:rFonts w:eastAsiaTheme="minorEastAsia"/>
              <w:noProof/>
            </w:rPr>
          </w:pPr>
          <w:r w:rsidRPr="009E6B5B">
            <w:rPr>
              <w:rStyle w:val="Hyperlink"/>
              <w:noProof/>
            </w:rPr>
            <w:fldChar w:fldCharType="begin"/>
          </w:r>
          <w:r w:rsidRPr="009E6B5B">
            <w:rPr>
              <w:rStyle w:val="Hyperlink"/>
              <w:noProof/>
            </w:rPr>
            <w:instrText xml:space="preserve"> </w:instrText>
          </w:r>
          <w:r>
            <w:rPr>
              <w:noProof/>
            </w:rPr>
            <w:instrText>HYPERLINK \l "_Toc523909726"</w:instrText>
          </w:r>
          <w:r w:rsidRPr="009E6B5B">
            <w:rPr>
              <w:rStyle w:val="Hyperlink"/>
              <w:noProof/>
            </w:rPr>
            <w:instrText xml:space="preserve"> </w:instrText>
          </w:r>
          <w:r w:rsidRPr="009E6B5B">
            <w:rPr>
              <w:rStyle w:val="Hyperlink"/>
              <w:noProof/>
            </w:rPr>
          </w:r>
          <w:r w:rsidRPr="009E6B5B">
            <w:rPr>
              <w:rStyle w:val="Hyperlink"/>
              <w:noProof/>
            </w:rPr>
            <w:fldChar w:fldCharType="separate"/>
          </w:r>
          <w:r w:rsidRPr="009E6B5B">
            <w:rPr>
              <w:rStyle w:val="Hyperlink"/>
              <w:rFonts w:ascii="Book Antiqua" w:eastAsia="Times New Roman" w:hAnsi="Book Antiqua"/>
              <w:noProof/>
            </w:rPr>
            <w:t>Who Are the Stewards of Doctrine?</w:t>
          </w:r>
          <w:r>
            <w:rPr>
              <w:noProof/>
              <w:webHidden/>
            </w:rPr>
            <w:tab/>
          </w:r>
          <w:r>
            <w:rPr>
              <w:noProof/>
              <w:webHidden/>
            </w:rPr>
            <w:fldChar w:fldCharType="begin"/>
          </w:r>
          <w:r>
            <w:rPr>
              <w:noProof/>
              <w:webHidden/>
            </w:rPr>
            <w:instrText xml:space="preserve"> PAGEREF _Toc523909726 \h </w:instrText>
          </w:r>
          <w:r>
            <w:rPr>
              <w:noProof/>
              <w:webHidden/>
            </w:rPr>
          </w:r>
          <w:r>
            <w:rPr>
              <w:noProof/>
              <w:webHidden/>
            </w:rPr>
            <w:fldChar w:fldCharType="separate"/>
          </w:r>
          <w:r>
            <w:rPr>
              <w:noProof/>
              <w:webHidden/>
            </w:rPr>
            <w:t>12</w:t>
          </w:r>
          <w:r>
            <w:rPr>
              <w:noProof/>
              <w:webHidden/>
            </w:rPr>
            <w:fldChar w:fldCharType="end"/>
          </w:r>
          <w:r w:rsidRPr="009E6B5B">
            <w:rPr>
              <w:rStyle w:val="Hyperlink"/>
              <w:noProof/>
            </w:rPr>
            <w:fldChar w:fldCharType="end"/>
          </w:r>
        </w:p>
        <w:bookmarkEnd w:id="1"/>
        <w:p w14:paraId="1C5A3A8E" w14:textId="23081DA3" w:rsidR="00920FB5" w:rsidRDefault="00920FB5">
          <w:pPr>
            <w:pStyle w:val="TOC2"/>
            <w:tabs>
              <w:tab w:val="right" w:leader="dot" w:pos="9350"/>
            </w:tabs>
            <w:rPr>
              <w:rFonts w:eastAsiaTheme="minorEastAsia"/>
              <w:noProof/>
            </w:rPr>
          </w:pPr>
          <w:r w:rsidRPr="009E6B5B">
            <w:rPr>
              <w:rStyle w:val="Hyperlink"/>
              <w:noProof/>
            </w:rPr>
            <w:fldChar w:fldCharType="begin"/>
          </w:r>
          <w:r w:rsidRPr="009E6B5B">
            <w:rPr>
              <w:rStyle w:val="Hyperlink"/>
              <w:noProof/>
            </w:rPr>
            <w:instrText xml:space="preserve"> </w:instrText>
          </w:r>
          <w:r>
            <w:rPr>
              <w:noProof/>
            </w:rPr>
            <w:instrText>HYPERLINK \l "_Toc523909727"</w:instrText>
          </w:r>
          <w:r w:rsidRPr="009E6B5B">
            <w:rPr>
              <w:rStyle w:val="Hyperlink"/>
              <w:noProof/>
            </w:rPr>
            <w:instrText xml:space="preserve"> </w:instrText>
          </w:r>
          <w:r w:rsidRPr="009E6B5B">
            <w:rPr>
              <w:rStyle w:val="Hyperlink"/>
              <w:noProof/>
            </w:rPr>
          </w:r>
          <w:r w:rsidRPr="009E6B5B">
            <w:rPr>
              <w:rStyle w:val="Hyperlink"/>
              <w:noProof/>
            </w:rPr>
            <w:fldChar w:fldCharType="separate"/>
          </w:r>
          <w:r w:rsidRPr="009E6B5B">
            <w:rPr>
              <w:rStyle w:val="Hyperlink"/>
              <w:rFonts w:ascii="Book Antiqua" w:eastAsia="Calibri" w:hAnsi="Book Antiqua"/>
              <w:noProof/>
            </w:rPr>
            <w:t>Lay People and Doctrine in the Reformed Tradition</w:t>
          </w:r>
          <w:r>
            <w:rPr>
              <w:noProof/>
              <w:webHidden/>
            </w:rPr>
            <w:tab/>
          </w:r>
          <w:r>
            <w:rPr>
              <w:noProof/>
              <w:webHidden/>
            </w:rPr>
            <w:fldChar w:fldCharType="begin"/>
          </w:r>
          <w:r>
            <w:rPr>
              <w:noProof/>
              <w:webHidden/>
            </w:rPr>
            <w:instrText xml:space="preserve"> PAGEREF _Toc523909727 \h </w:instrText>
          </w:r>
          <w:r>
            <w:rPr>
              <w:noProof/>
              <w:webHidden/>
            </w:rPr>
          </w:r>
          <w:r>
            <w:rPr>
              <w:noProof/>
              <w:webHidden/>
            </w:rPr>
            <w:fldChar w:fldCharType="separate"/>
          </w:r>
          <w:r>
            <w:rPr>
              <w:noProof/>
              <w:webHidden/>
            </w:rPr>
            <w:t>14</w:t>
          </w:r>
          <w:r>
            <w:rPr>
              <w:noProof/>
              <w:webHidden/>
            </w:rPr>
            <w:fldChar w:fldCharType="end"/>
          </w:r>
          <w:r w:rsidRPr="009E6B5B">
            <w:rPr>
              <w:rStyle w:val="Hyperlink"/>
              <w:noProof/>
            </w:rPr>
            <w:fldChar w:fldCharType="end"/>
          </w:r>
        </w:p>
        <w:p w14:paraId="4C852D0E" w14:textId="0C0258FC" w:rsidR="00920FB5" w:rsidRDefault="00920FB5">
          <w:pPr>
            <w:pStyle w:val="TOC2"/>
            <w:tabs>
              <w:tab w:val="right" w:leader="dot" w:pos="9350"/>
            </w:tabs>
            <w:rPr>
              <w:rFonts w:eastAsiaTheme="minorEastAsia"/>
              <w:noProof/>
            </w:rPr>
          </w:pPr>
          <w:hyperlink w:anchor="_Toc523909728" w:history="1">
            <w:r w:rsidRPr="009E6B5B">
              <w:rPr>
                <w:rStyle w:val="Hyperlink"/>
                <w:rFonts w:ascii="Book Antiqua" w:eastAsia="Calibri" w:hAnsi="Book Antiqua"/>
                <w:noProof/>
              </w:rPr>
              <w:t>Lay People and Doctrine in the Roman Catholic Church</w:t>
            </w:r>
            <w:r>
              <w:rPr>
                <w:noProof/>
                <w:webHidden/>
              </w:rPr>
              <w:tab/>
            </w:r>
            <w:r>
              <w:rPr>
                <w:noProof/>
                <w:webHidden/>
              </w:rPr>
              <w:fldChar w:fldCharType="begin"/>
            </w:r>
            <w:r>
              <w:rPr>
                <w:noProof/>
                <w:webHidden/>
              </w:rPr>
              <w:instrText xml:space="preserve"> PAGEREF _Toc523909728 \h </w:instrText>
            </w:r>
            <w:r>
              <w:rPr>
                <w:noProof/>
                <w:webHidden/>
              </w:rPr>
            </w:r>
            <w:r>
              <w:rPr>
                <w:noProof/>
                <w:webHidden/>
              </w:rPr>
              <w:fldChar w:fldCharType="separate"/>
            </w:r>
            <w:r>
              <w:rPr>
                <w:noProof/>
                <w:webHidden/>
              </w:rPr>
              <w:t>17</w:t>
            </w:r>
            <w:r>
              <w:rPr>
                <w:noProof/>
                <w:webHidden/>
              </w:rPr>
              <w:fldChar w:fldCharType="end"/>
            </w:r>
          </w:hyperlink>
        </w:p>
        <w:p w14:paraId="2C1E5944" w14:textId="4AF5AD1E" w:rsidR="00920FB5" w:rsidRDefault="00920FB5">
          <w:pPr>
            <w:pStyle w:val="TOC2"/>
            <w:tabs>
              <w:tab w:val="right" w:leader="dot" w:pos="9350"/>
            </w:tabs>
            <w:rPr>
              <w:rFonts w:eastAsiaTheme="minorEastAsia"/>
              <w:noProof/>
            </w:rPr>
          </w:pPr>
          <w:hyperlink w:anchor="_Toc523909729" w:history="1">
            <w:r w:rsidRPr="009E6B5B">
              <w:rPr>
                <w:rStyle w:val="Hyperlink"/>
                <w:rFonts w:ascii="Book Antiqua" w:eastAsia="Times New Roman" w:hAnsi="Book Antiqua"/>
                <w:noProof/>
              </w:rPr>
              <w:t>Cultural Obstacles to Local Ecumenical Dialogue</w:t>
            </w:r>
            <w:r>
              <w:rPr>
                <w:noProof/>
                <w:webHidden/>
              </w:rPr>
              <w:tab/>
            </w:r>
            <w:r>
              <w:rPr>
                <w:noProof/>
                <w:webHidden/>
              </w:rPr>
              <w:fldChar w:fldCharType="begin"/>
            </w:r>
            <w:r>
              <w:rPr>
                <w:noProof/>
                <w:webHidden/>
              </w:rPr>
              <w:instrText xml:space="preserve"> PAGEREF _Toc523909729 \h </w:instrText>
            </w:r>
            <w:r>
              <w:rPr>
                <w:noProof/>
                <w:webHidden/>
              </w:rPr>
            </w:r>
            <w:r>
              <w:rPr>
                <w:noProof/>
                <w:webHidden/>
              </w:rPr>
              <w:fldChar w:fldCharType="separate"/>
            </w:r>
            <w:r>
              <w:rPr>
                <w:noProof/>
                <w:webHidden/>
              </w:rPr>
              <w:t>24</w:t>
            </w:r>
            <w:r>
              <w:rPr>
                <w:noProof/>
                <w:webHidden/>
              </w:rPr>
              <w:fldChar w:fldCharType="end"/>
            </w:r>
          </w:hyperlink>
        </w:p>
        <w:p w14:paraId="23533DC0" w14:textId="49B08BCD" w:rsidR="00920FB5" w:rsidRDefault="00920FB5">
          <w:pPr>
            <w:pStyle w:val="TOC2"/>
            <w:tabs>
              <w:tab w:val="right" w:leader="dot" w:pos="9350"/>
            </w:tabs>
            <w:rPr>
              <w:rFonts w:eastAsiaTheme="minorEastAsia"/>
              <w:noProof/>
            </w:rPr>
          </w:pPr>
          <w:hyperlink w:anchor="_Toc523909730" w:history="1">
            <w:r w:rsidRPr="009E6B5B">
              <w:rPr>
                <w:rStyle w:val="Hyperlink"/>
                <w:rFonts w:ascii="Book Antiqua" w:eastAsia="Calibri" w:hAnsi="Book Antiqua"/>
                <w:noProof/>
              </w:rPr>
              <w:t>Conclusion</w:t>
            </w:r>
            <w:r>
              <w:rPr>
                <w:noProof/>
                <w:webHidden/>
              </w:rPr>
              <w:tab/>
            </w:r>
            <w:r>
              <w:rPr>
                <w:noProof/>
                <w:webHidden/>
              </w:rPr>
              <w:fldChar w:fldCharType="begin"/>
            </w:r>
            <w:r>
              <w:rPr>
                <w:noProof/>
                <w:webHidden/>
              </w:rPr>
              <w:instrText xml:space="preserve"> PAGEREF _Toc523909730 \h </w:instrText>
            </w:r>
            <w:r>
              <w:rPr>
                <w:noProof/>
                <w:webHidden/>
              </w:rPr>
            </w:r>
            <w:r>
              <w:rPr>
                <w:noProof/>
                <w:webHidden/>
              </w:rPr>
              <w:fldChar w:fldCharType="separate"/>
            </w:r>
            <w:r>
              <w:rPr>
                <w:noProof/>
                <w:webHidden/>
              </w:rPr>
              <w:t>29</w:t>
            </w:r>
            <w:r>
              <w:rPr>
                <w:noProof/>
                <w:webHidden/>
              </w:rPr>
              <w:fldChar w:fldCharType="end"/>
            </w:r>
          </w:hyperlink>
        </w:p>
        <w:p w14:paraId="1871F504" w14:textId="1D8615C7" w:rsidR="00F96B29" w:rsidRDefault="00F96B29">
          <w:r>
            <w:rPr>
              <w:b/>
              <w:bCs/>
              <w:noProof/>
            </w:rPr>
            <w:fldChar w:fldCharType="end"/>
          </w:r>
        </w:p>
      </w:sdtContent>
    </w:sdt>
    <w:p w14:paraId="2BE40BCB" w14:textId="77777777" w:rsidR="00F96B29" w:rsidRDefault="00F96B29">
      <w:pPr>
        <w:rPr>
          <w:rFonts w:ascii="Book Antiqua" w:eastAsia="Calibri" w:hAnsi="Book Antiqua" w:cstheme="majorBidi"/>
          <w:spacing w:val="-10"/>
          <w:kern w:val="28"/>
          <w:sz w:val="32"/>
          <w:szCs w:val="56"/>
        </w:rPr>
      </w:pPr>
      <w:r>
        <w:rPr>
          <w:rFonts w:ascii="Book Antiqua" w:eastAsia="Calibri" w:hAnsi="Book Antiqua"/>
          <w:sz w:val="32"/>
        </w:rPr>
        <w:br w:type="page"/>
      </w:r>
    </w:p>
    <w:p w14:paraId="5A78C6DA" w14:textId="77777777" w:rsidR="00F96B29" w:rsidRPr="005E0240" w:rsidRDefault="00F96B29" w:rsidP="005E0240">
      <w:pPr>
        <w:pStyle w:val="Heading1"/>
        <w:jc w:val="center"/>
        <w:rPr>
          <w:rFonts w:ascii="Book Antiqua" w:hAnsi="Book Antiqua"/>
          <w:color w:val="auto"/>
        </w:rPr>
      </w:pPr>
      <w:bookmarkStart w:id="2" w:name="_Toc523909724"/>
      <w:r w:rsidRPr="005E0240">
        <w:rPr>
          <w:rFonts w:ascii="Book Antiqua" w:hAnsi="Book Antiqua"/>
          <w:color w:val="auto"/>
        </w:rPr>
        <w:lastRenderedPageBreak/>
        <w:t>Preface</w:t>
      </w:r>
      <w:bookmarkEnd w:id="2"/>
    </w:p>
    <w:p w14:paraId="66718551" w14:textId="77777777" w:rsidR="00F96B29" w:rsidRPr="00F96B29" w:rsidRDefault="00F96B29" w:rsidP="00F96B29">
      <w:pPr>
        <w:spacing w:line="256" w:lineRule="auto"/>
        <w:rPr>
          <w:rFonts w:ascii="Calibri" w:eastAsia="Calibri" w:hAnsi="Calibri" w:cs="Times New Roman"/>
        </w:rPr>
      </w:pPr>
      <w:r w:rsidRPr="00F96B29">
        <w:rPr>
          <w:rFonts w:ascii="Calibri" w:eastAsia="Calibri" w:hAnsi="Calibri" w:cs="Times New Roman"/>
        </w:rPr>
        <w:tab/>
      </w:r>
    </w:p>
    <w:p w14:paraId="2C145263" w14:textId="77777777" w:rsidR="00F96B29" w:rsidRPr="00F96B29" w:rsidRDefault="00F96B29" w:rsidP="00F96B29">
      <w:pPr>
        <w:spacing w:line="360" w:lineRule="auto"/>
        <w:rPr>
          <w:rFonts w:ascii="Book Antiqua" w:eastAsia="Calibri" w:hAnsi="Book Antiqua" w:cs="Times New Roman"/>
          <w:sz w:val="24"/>
        </w:rPr>
      </w:pPr>
      <w:r w:rsidRPr="00F96B29">
        <w:rPr>
          <w:rFonts w:ascii="Calibri" w:eastAsia="Calibri" w:hAnsi="Calibri" w:cs="Times New Roman"/>
        </w:rPr>
        <w:tab/>
      </w:r>
      <w:r w:rsidRPr="00F96B29">
        <w:rPr>
          <w:rFonts w:ascii="Book Antiqua" w:eastAsia="Calibri" w:hAnsi="Book Antiqua" w:cs="Times New Roman"/>
          <w:sz w:val="24"/>
        </w:rPr>
        <w:t xml:space="preserve">This book is for Christians who </w:t>
      </w:r>
      <w:bookmarkStart w:id="3" w:name="_Hlk506192873"/>
      <w:r w:rsidRPr="00F96B29">
        <w:rPr>
          <w:rFonts w:ascii="Book Antiqua" w:eastAsia="Calibri" w:hAnsi="Book Antiqua" w:cs="Times New Roman"/>
          <w:sz w:val="24"/>
        </w:rPr>
        <w:t>desire unity with other Christians and do not have the slightest idea how to begin to achieve it</w:t>
      </w:r>
      <w:bookmarkEnd w:id="3"/>
      <w:r w:rsidRPr="00F96B29">
        <w:rPr>
          <w:rFonts w:ascii="Book Antiqua" w:eastAsia="Calibri" w:hAnsi="Book Antiqua" w:cs="Times New Roman"/>
          <w:sz w:val="24"/>
        </w:rPr>
        <w:t xml:space="preserve">.  That is why it is called a “primer”—because it starts at the beginning, with the assumption that the unity of Christians is a natural desire and a goal worth pursuing.  Although it focuses on building relationships between two particular Christian communities—Reformed (Calvinist) and Roman Catholic—most of what it has to say is generalizable to anyone who wants to pursue Christian unity right where they are. </w:t>
      </w:r>
      <w:r w:rsidRPr="00F96B29">
        <w:rPr>
          <w:rFonts w:ascii="Book Antiqua" w:eastAsia="Calibri" w:hAnsi="Book Antiqua" w:cs="Times New Roman"/>
          <w:sz w:val="24"/>
          <w:vertAlign w:val="superscript"/>
        </w:rPr>
        <w:footnoteReference w:id="1"/>
      </w:r>
    </w:p>
    <w:p w14:paraId="22A97144" w14:textId="77777777" w:rsidR="00F96B29" w:rsidRPr="00F96B29" w:rsidRDefault="00F96B29" w:rsidP="00F96B29">
      <w:pPr>
        <w:spacing w:line="360" w:lineRule="auto"/>
        <w:rPr>
          <w:rFonts w:ascii="Book Antiqua" w:eastAsia="Calibri" w:hAnsi="Book Antiqua" w:cs="Times New Roman"/>
          <w:sz w:val="24"/>
        </w:rPr>
      </w:pPr>
      <w:r w:rsidRPr="00F96B29">
        <w:rPr>
          <w:rFonts w:ascii="Book Antiqua" w:eastAsia="Calibri" w:hAnsi="Book Antiqua" w:cs="Times New Roman"/>
          <w:sz w:val="24"/>
        </w:rPr>
        <w:tab/>
        <w:t xml:space="preserve">In technical terms, this book provides inspiration, training and support for lay (that is, non-clergy) dialogue between separated Christians at the local level.  It is an exercise in local ecumenism.  The word “ecumenical” comes from the Greek </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Symbol" w:eastAsia="Calibri" w:hAnsi="Symbol" w:cs="Times New Roman"/>
          <w:sz w:val="24"/>
        </w:rPr>
        <w:t></w:t>
      </w:r>
      <w:r w:rsidRPr="00F96B29">
        <w:rPr>
          <w:rFonts w:ascii="Book Antiqua" w:eastAsia="Calibri" w:hAnsi="Book Antiqua" w:cs="Times New Roman"/>
          <w:sz w:val="24"/>
        </w:rPr>
        <w:t>, meaning “the whole known world.”  The ecumenical impulse seeks to bring “all Christians in each place” into “visible unity with all Christians in every place.”</w:t>
      </w:r>
      <w:r w:rsidRPr="00F96B29">
        <w:rPr>
          <w:rFonts w:ascii="Book Antiqua" w:eastAsia="Calibri" w:hAnsi="Book Antiqua" w:cs="Times New Roman"/>
          <w:sz w:val="24"/>
          <w:vertAlign w:val="superscript"/>
        </w:rPr>
        <w:footnoteReference w:id="2"/>
      </w:r>
      <w:r w:rsidRPr="00F96B29">
        <w:rPr>
          <w:rFonts w:ascii="Book Antiqua" w:eastAsia="Calibri" w:hAnsi="Book Antiqua" w:cs="Times New Roman"/>
          <w:sz w:val="24"/>
        </w:rPr>
        <w:t xml:space="preserve">  Biblically, ecumenism rests on Jesus’ prayer to the Father in that his people “may all be one. As you, Father, are in me and I am in you, may they also be in us, so that the world may believe that you have sent me” (John 17.21).   Ecumenism is therefore both a subject matter and a quest.  As a subject within the overall discipline of theology, it explores the history of Christian differences: how they came about, what solidified them, their consequences, etc.  As a quest, ecumenism works to identify how such differences might be overcome both intellectually and in terms of church structures.    In both cases, ecumenical theology seeks to heal the church so that it can go about its work of disciple-making with greater joy and greater integrity.   </w:t>
      </w:r>
    </w:p>
    <w:p w14:paraId="596AF440"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lastRenderedPageBreak/>
        <w:t>In this book, I make three assumptions that should be obvious but functionally are not.  The first is that lay people—Christians who are not clergy—can be highly capable ecumenical theologians and are in fact called to be such.  In the next chapter I will demonstrate that there is support in both Reformed and Catholic theology for affirming the theological discernment of lay people.  Theology is how we make sense of the claim that “Jesus Christ is Lord” with its many implications, so that we can live what we believe.   Yet there never seems to be enough time, energy or opportunity for laypeople to receive training in the art of thinking well about the Christian claim and its associated way of life.  This can be true even in settings where laypeople are asking for better theological skills and more opportunities to form them.  In my experience, ecumenical dialogue at the local level can go a long way toward meeting the theological needs of lay people.  It invites them to learn their own tradition by contrasting it with a different one.  It also provides the opportunity to practice Christian civility in disagreement: owning one’s own truth, while listening with love and respect to someone who thinks differently.   These are skills that lay Christians both want and need today.</w:t>
      </w:r>
    </w:p>
    <w:p w14:paraId="77291E14"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The second overlooked assumption is that Christian unity is essential for mission.  Believers in Jesus Christ across the world are fully aware that there are many competing visions of “truth” available today.  Most of them long to speak the Gospel and to live in a way that is winsome to outsiders.  But their witness to Jesus is complicated by the tendency of his followers to splinter into thousands of groups whose teachings are opposed to one another.  Would not a true religion unite, rather than divide? Church people struggle to find a response to this objection since it has a self-evident quality not only to the objector but to the Christian as well.  Jesus Christ is the way, the truth, and the life (John 14.6).  Why then are we divided?  </w:t>
      </w:r>
    </w:p>
    <w:p w14:paraId="7F73D581"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There is, in fact, a deep link between Gospel proclamation and the ecumenical impulse both historically and theologically.  But this link has not always been evident.   It can happen today that believers who feel strongly about Christian unity are </w:t>
      </w:r>
      <w:r w:rsidRPr="00F96B29">
        <w:rPr>
          <w:rFonts w:ascii="Book Antiqua" w:eastAsia="Calibri" w:hAnsi="Book Antiqua" w:cs="Times New Roman"/>
          <w:sz w:val="24"/>
        </w:rPr>
        <w:lastRenderedPageBreak/>
        <w:t>automatically assumed to be “liberal” or “progressive,” and those who focus on proclaiming the Gospel to all people are known as “conservative” or “evangelical.”  Having spent time with ecumenical theologians from many traditions and on several continents, having studied the fruits of official ecumenical dialogue since the mid-1960’s, I no longer believe in this dichotomy.  The picture is not that simple.  Christians of many backgrounds believe in the authority of the Bible, seek to preserve ancient forms and traditions of faith, and are trying to define a truly Christian social morality.  They know that broken relationships between Christian communities are damaging to Gospel proclamation.  And they long to proclaim the good news, right where they are, in word and deed.</w:t>
      </w:r>
    </w:p>
    <w:p w14:paraId="19D2B9F7"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My third assumption pertains to the professional ecumenical movement and how lay people relate to it.  It requires a quick survey of the history of that movement. Contemporary ecumenism began in 1910 at the World Missionary Conference in Edinburgh, Scotland.  The Protestant missionaries who gathered there recognized the danger that disharmony and competition between Christian groups posed to Gospel proclamation.  By 1948, this recognition had resulted in the creation of the World Council of Churches.  Then in 1960, Pope John XXIII established the "Secretariat for Promoting Christian Unity" as one of the preparatory commissions for the Second Vatican Council.  The theology of Vatican II affirmed and deepened the Catholic commitment by acknowledging a fundamental unity between Catholics and other Christians through God’s work in baptism.   Since 1965, mainly under the auspices of the “Faith and Order” initiative of the World Council of Churches, professional theologians from all over Christendom have met for thousands of hours and composed hundreds of pages, endeavoring to iron out their differences and speak the faith together.  </w:t>
      </w:r>
    </w:p>
    <w:p w14:paraId="4434F533" w14:textId="0AD39432"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 Ecumenical reports can be intimidating; they can also be inviting, theologically sound, heartfelt, and inspiring.  A few of them read like Christian classics. These documents exist to make it possible for lay people to share the degree of unity that the </w:t>
      </w:r>
      <w:r w:rsidRPr="00F96B29">
        <w:rPr>
          <w:rFonts w:ascii="Book Antiqua" w:eastAsia="Calibri" w:hAnsi="Book Antiqua" w:cs="Times New Roman"/>
          <w:sz w:val="24"/>
        </w:rPr>
        <w:lastRenderedPageBreak/>
        <w:t xml:space="preserve">dialogue partners may have achieved, a goal which ecumenists call “reception.”  (One goal of this book is to acquaint the reader with key passages in relevant dialogue reports, and therefore to speed reception.)   However, </w:t>
      </w:r>
      <w:r w:rsidR="00F82F0A" w:rsidRPr="00F96B29">
        <w:rPr>
          <w:rFonts w:ascii="Book Antiqua" w:eastAsia="Calibri" w:hAnsi="Book Antiqua" w:cs="Times New Roman"/>
          <w:sz w:val="24"/>
        </w:rPr>
        <w:t>most</w:t>
      </w:r>
      <w:r w:rsidRPr="00F96B29">
        <w:rPr>
          <w:rFonts w:ascii="Book Antiqua" w:eastAsia="Calibri" w:hAnsi="Book Antiqua" w:cs="Times New Roman"/>
          <w:sz w:val="24"/>
        </w:rPr>
        <w:t xml:space="preserve"> dialogue reports never make it into actual contact with the daily lives of lay people and their leaders in church and parish.  There also exists an unspoken assumption that church people do not have the intellectual ability to take on the challenges of dialogue directly.  Experiments in local ecumenism, while sometimes very successful, have generally been limited to the establish of new, common structures and shared social action or Christian witness.  In very few have Christians been trained to grapple with the actual beliefs of the churches. Therefore, ecumenism as we currently conduct it—through the dialogue of Christian professionals—comes into disappointing conflict with the assumption that opened this chapter: that theology belongs to church people.   </w:t>
      </w:r>
    </w:p>
    <w:p w14:paraId="3EAF6F68"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 The scholars who have worked together at the international level in the Faith and Order dialogues never intended their conversations to take the place of local ecumenical dialogue.  Nor did they just sit back and expect the international achievements to “trickle down,” as they are sometimes accused of doing.  Theologians in dialogue work incredibly hard for no increase in salary or benefits and often in the face of consternation (or worse) among their academic peers, or in the churches to which they belong, as to why they would spend their time in this way.   For most of them, ecumenism is a labor of love.  They worry about producing documents that are never received, mere “zip lines from the ivory tower”</w:t>
      </w:r>
      <w:r w:rsidRPr="00F96B29">
        <w:rPr>
          <w:rFonts w:ascii="Book Antiqua" w:eastAsia="Calibri" w:hAnsi="Book Antiqua" w:cs="Times New Roman"/>
          <w:sz w:val="24"/>
          <w:vertAlign w:val="superscript"/>
        </w:rPr>
        <w:footnoteReference w:id="3"/>
      </w:r>
      <w:r w:rsidRPr="00F96B29">
        <w:rPr>
          <w:rFonts w:ascii="Book Antiqua" w:eastAsia="Calibri" w:hAnsi="Book Antiqua" w:cs="Times New Roman"/>
          <w:sz w:val="24"/>
        </w:rPr>
        <w:t xml:space="preserve">.  They worry that, if reception continues to be sparse and sporadic, the result will be an “ecumenical winter” that is ongoing—like C.S. Lewis’ sorry image of “always winter, but never Christmas.” Yet very few ecumenists have seriously engaged in training lay people for local ecumenical dialogue.  </w:t>
      </w:r>
    </w:p>
    <w:p w14:paraId="6B51C65D"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lastRenderedPageBreak/>
        <w:t xml:space="preserve">Perhaps there has not been time for educated theologians both to train for dialogue and engage in it simultaneously.  Perhaps there are theological or cultural barriers at work in deciding what activities properly belong to the laity and which belong to clergy.  We will explore what some of these barriers might be.  But my third assumption—and the thesis of this book-- is that </w:t>
      </w:r>
      <w:r w:rsidRPr="00F96B29">
        <w:rPr>
          <w:rFonts w:ascii="Book Antiqua" w:eastAsia="Calibri" w:hAnsi="Book Antiqua" w:cs="Times New Roman"/>
          <w:b/>
          <w:i/>
          <w:sz w:val="24"/>
        </w:rPr>
        <w:t>now is the time</w:t>
      </w:r>
      <w:r w:rsidRPr="00F96B29">
        <w:rPr>
          <w:rFonts w:ascii="Book Antiqua" w:eastAsia="Calibri" w:hAnsi="Book Antiqua" w:cs="Times New Roman"/>
          <w:sz w:val="24"/>
        </w:rPr>
        <w:t xml:space="preserve"> for the churches to invest their energy in local, doctrine-based ecumenical dialogue.  Years of ecumenical initiative “from above,” at the international level, must now be matched by corresponding initiative “from below,” at the grassroots level.  This is real ecumenical reception—not a passive, trickle-down program but an active program of “dialoguing back.”   And this active program can bring much-needed energy to the global movement toward Christian unity, as well as theological information and dialogue skills to lay Christians who want and need them.  </w:t>
      </w:r>
    </w:p>
    <w:p w14:paraId="3B33D8F8" w14:textId="77777777"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I hope that the reader now understands the title of this book on a different level.  To be “primed” means to be motivated—equipped-- informed.  The structure of this book reflects all three meanings of the word “primed.”  The earlier chapters intend to motivate by answering the questions: “Why should lay people be involved in ecumenical dialogue?  What do they bring?”  Chapter One deals with these two questions theologically; Chapter Two looks at them historically, examining the fruit of several lay dialogues that occurred in the 1960’s-1980’s: how they succeeded, and where they failed.  Chapter Three seeks to equip lay Christians for dialogue by examining what dialogue is and how to do it.  It presents a specific dialogue method with roots in the Roman Catholic tradition that deserves further study, and that has the capacity to be empowering to lay and professional ecumenists alike.  Chapter Five, Six and Seven take up the meaning of “primed” as “informed.”  In them, we will carefully consider three divisive theological issues between Protestant and Catholic Christians: Calvin’s teaching on predestination; the Roman Catholic understanding of papal primacy; and the doctrinal barriers to shared eucharistic communion in both traditions.  What do lay people need to know in order to dialogue meaningfully and even successfully on these </w:t>
      </w:r>
      <w:r w:rsidRPr="00F96B29">
        <w:rPr>
          <w:rFonts w:ascii="Book Antiqua" w:eastAsia="Calibri" w:hAnsi="Book Antiqua" w:cs="Times New Roman"/>
          <w:sz w:val="24"/>
        </w:rPr>
        <w:lastRenderedPageBreak/>
        <w:t>issues?  The “Protestant” voice in these chapters will be Reformed, deeply shaped by John Calvin’s theology, but also understandable and applicable to readers from other Protestant faith communities.</w:t>
      </w:r>
    </w:p>
    <w:p w14:paraId="4F176D3F" w14:textId="5783BE44"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Even as I write this book, I am </w:t>
      </w:r>
      <w:r w:rsidR="00DB46CC">
        <w:rPr>
          <w:rFonts w:ascii="Book Antiqua" w:eastAsia="Calibri" w:hAnsi="Book Antiqua" w:cs="Times New Roman"/>
          <w:sz w:val="24"/>
        </w:rPr>
        <w:t xml:space="preserve">working to establish </w:t>
      </w:r>
      <w:r w:rsidRPr="00F96B29">
        <w:rPr>
          <w:rFonts w:ascii="Book Antiqua" w:eastAsia="Calibri" w:hAnsi="Book Antiqua" w:cs="Times New Roman"/>
          <w:sz w:val="24"/>
        </w:rPr>
        <w:t>dialogue experiment</w:t>
      </w:r>
      <w:r w:rsidR="00DB46CC">
        <w:rPr>
          <w:rFonts w:ascii="Book Antiqua" w:eastAsia="Calibri" w:hAnsi="Book Antiqua" w:cs="Times New Roman"/>
          <w:sz w:val="24"/>
        </w:rPr>
        <w:t>s</w:t>
      </w:r>
      <w:r w:rsidRPr="00F96B29">
        <w:rPr>
          <w:rFonts w:ascii="Book Antiqua" w:eastAsia="Calibri" w:hAnsi="Book Antiqua" w:cs="Times New Roman"/>
          <w:sz w:val="24"/>
        </w:rPr>
        <w:t xml:space="preserve"> among Reformed and Roman Catholic Christians in </w:t>
      </w:r>
      <w:r w:rsidR="00DB46CC">
        <w:rPr>
          <w:rFonts w:ascii="Book Antiqua" w:eastAsia="Calibri" w:hAnsi="Book Antiqua" w:cs="Times New Roman"/>
          <w:sz w:val="24"/>
        </w:rPr>
        <w:t>the Pacific Northwest.</w:t>
      </w:r>
      <w:r w:rsidRPr="00F96B29">
        <w:rPr>
          <w:rFonts w:ascii="Book Antiqua" w:eastAsia="Calibri" w:hAnsi="Book Antiqua" w:cs="Times New Roman"/>
          <w:sz w:val="24"/>
        </w:rPr>
        <w:t xml:space="preserve"> I will be providing concrete examples that are gleaned from that experiment throughout all the chapters of the book.  However, Chapter Eight will provide a more specific description of an actual local dialogue: who participated; how the training and dialogue were structured; what all parties learned</w:t>
      </w:r>
      <w:proofErr w:type="gramStart"/>
      <w:r w:rsidRPr="00F96B29">
        <w:rPr>
          <w:rFonts w:ascii="Book Antiqua" w:eastAsia="Calibri" w:hAnsi="Book Antiqua" w:cs="Times New Roman"/>
          <w:sz w:val="24"/>
        </w:rPr>
        <w:t xml:space="preserve">. </w:t>
      </w:r>
      <w:proofErr w:type="gramEnd"/>
      <w:r w:rsidRPr="00F96B29">
        <w:rPr>
          <w:rFonts w:ascii="Book Antiqua" w:eastAsia="Calibri" w:hAnsi="Book Antiqua" w:cs="Times New Roman"/>
          <w:sz w:val="24"/>
        </w:rPr>
        <w:t xml:space="preserve">Finally, we will end with some ideas about how lay people, with support from clergy, might communicate the results of their dialogue to church leadership in a way that lends authority and legitimacy to their efforts.  </w:t>
      </w:r>
    </w:p>
    <w:p w14:paraId="50C6EAD8" w14:textId="3638EBF5" w:rsidR="00F96B29" w:rsidRPr="00F96B29" w:rsidRDefault="00F96B29" w:rsidP="00F96B29">
      <w:pPr>
        <w:spacing w:line="360" w:lineRule="auto"/>
        <w:ind w:firstLine="720"/>
        <w:rPr>
          <w:rFonts w:ascii="Book Antiqua" w:eastAsia="Calibri" w:hAnsi="Book Antiqua" w:cs="Times New Roman"/>
          <w:sz w:val="24"/>
        </w:rPr>
      </w:pPr>
      <w:r w:rsidRPr="00F96B29">
        <w:rPr>
          <w:rFonts w:ascii="Book Antiqua" w:eastAsia="Calibri" w:hAnsi="Book Antiqua" w:cs="Times New Roman"/>
          <w:sz w:val="24"/>
        </w:rPr>
        <w:t xml:space="preserve">I would like to acknowledge </w:t>
      </w:r>
      <w:r w:rsidR="002E329D">
        <w:rPr>
          <w:rFonts w:ascii="Book Antiqua" w:eastAsia="Calibri" w:hAnsi="Book Antiqua" w:cs="Times New Roman"/>
          <w:sz w:val="24"/>
        </w:rPr>
        <w:t>…</w:t>
      </w:r>
    </w:p>
    <w:p w14:paraId="15183477" w14:textId="77777777" w:rsidR="00F96B29" w:rsidRDefault="00F96B29">
      <w:pPr>
        <w:rPr>
          <w:rFonts w:ascii="Book Antiqua" w:eastAsia="Calibri" w:hAnsi="Book Antiqua" w:cstheme="majorBidi"/>
          <w:spacing w:val="-10"/>
          <w:kern w:val="28"/>
          <w:sz w:val="32"/>
          <w:szCs w:val="56"/>
        </w:rPr>
      </w:pPr>
      <w:r>
        <w:rPr>
          <w:rFonts w:ascii="Book Antiqua" w:eastAsia="Calibri" w:hAnsi="Book Antiqua"/>
          <w:sz w:val="32"/>
        </w:rPr>
        <w:br w:type="page"/>
      </w:r>
    </w:p>
    <w:p w14:paraId="631279C6" w14:textId="5243FB9A" w:rsidR="002266C8" w:rsidRPr="005E0240" w:rsidRDefault="00631C1C" w:rsidP="005E0240">
      <w:pPr>
        <w:pStyle w:val="Heading1"/>
        <w:jc w:val="center"/>
        <w:rPr>
          <w:rFonts w:eastAsia="Calibri"/>
          <w:color w:val="auto"/>
        </w:rPr>
      </w:pPr>
      <w:bookmarkStart w:id="4" w:name="_Toc523909725"/>
      <w:r w:rsidRPr="005E0240">
        <w:rPr>
          <w:rFonts w:eastAsia="Calibri"/>
          <w:color w:val="auto"/>
        </w:rPr>
        <w:lastRenderedPageBreak/>
        <w:t xml:space="preserve">Chapter One: </w:t>
      </w:r>
      <w:r w:rsidR="00C2592B" w:rsidRPr="005E0240">
        <w:rPr>
          <w:rFonts w:eastAsia="Calibri"/>
          <w:color w:val="auto"/>
        </w:rPr>
        <w:t>Theological Support for Local Dialogue</w:t>
      </w:r>
      <w:bookmarkEnd w:id="4"/>
    </w:p>
    <w:p w14:paraId="4AEBBA78" w14:textId="798E82EC" w:rsidR="00C2592B" w:rsidRPr="005E0240" w:rsidRDefault="00C2592B" w:rsidP="005E0240">
      <w:pPr>
        <w:pStyle w:val="Heading1"/>
        <w:jc w:val="center"/>
        <w:rPr>
          <w:color w:val="auto"/>
        </w:rPr>
      </w:pPr>
    </w:p>
    <w:p w14:paraId="794A29F0" w14:textId="4B3770AC" w:rsidR="009760FD" w:rsidRDefault="00004716" w:rsidP="00D27747">
      <w:pPr>
        <w:spacing w:line="360" w:lineRule="auto"/>
        <w:rPr>
          <w:rFonts w:ascii="Book Antiqua" w:eastAsia="Times New Roman" w:hAnsi="Book Antiqua" w:cs="Book Antiqua"/>
          <w:sz w:val="24"/>
          <w:szCs w:val="24"/>
        </w:rPr>
      </w:pPr>
      <w:r>
        <w:tab/>
      </w:r>
      <w:r w:rsidR="00CD581B">
        <w:rPr>
          <w:rFonts w:ascii="Book Antiqua" w:eastAsia="Times New Roman" w:hAnsi="Book Antiqua" w:cs="Book Antiqua"/>
          <w:sz w:val="24"/>
          <w:szCs w:val="24"/>
        </w:rPr>
        <w:t>One</w:t>
      </w:r>
      <w:r w:rsidR="00D27747">
        <w:rPr>
          <w:rFonts w:ascii="Book Antiqua" w:eastAsia="Times New Roman" w:hAnsi="Book Antiqua" w:cs="Book Antiqua"/>
          <w:sz w:val="24"/>
          <w:szCs w:val="24"/>
        </w:rPr>
        <w:t xml:space="preserve"> joy of spendi</w:t>
      </w:r>
      <w:r w:rsidR="0049378F">
        <w:rPr>
          <w:rFonts w:ascii="Book Antiqua" w:eastAsia="Times New Roman" w:hAnsi="Book Antiqua" w:cs="Book Antiqua"/>
          <w:sz w:val="24"/>
          <w:szCs w:val="24"/>
        </w:rPr>
        <w:t>ng</w:t>
      </w:r>
      <w:r w:rsidR="00D27747">
        <w:rPr>
          <w:rFonts w:ascii="Book Antiqua" w:eastAsia="Times New Roman" w:hAnsi="Book Antiqua" w:cs="Book Antiqua"/>
          <w:sz w:val="24"/>
          <w:szCs w:val="24"/>
        </w:rPr>
        <w:t xml:space="preserve"> time with </w:t>
      </w:r>
      <w:r w:rsidR="00D53248">
        <w:rPr>
          <w:rFonts w:ascii="Book Antiqua" w:eastAsia="Times New Roman" w:hAnsi="Book Antiqua" w:cs="Book Antiqua"/>
          <w:sz w:val="24"/>
          <w:szCs w:val="24"/>
        </w:rPr>
        <w:t>professional ecumenists</w:t>
      </w:r>
      <w:r w:rsidR="00D27747">
        <w:rPr>
          <w:rFonts w:ascii="Book Antiqua" w:eastAsia="Times New Roman" w:hAnsi="Book Antiqua" w:cs="Book Antiqua"/>
          <w:sz w:val="24"/>
          <w:szCs w:val="24"/>
        </w:rPr>
        <w:t xml:space="preserve"> is the opportunity to listen to them reminisce.  The veterans of the </w:t>
      </w:r>
      <w:r w:rsidR="00D6063A">
        <w:rPr>
          <w:rFonts w:ascii="Book Antiqua" w:eastAsia="Times New Roman" w:hAnsi="Book Antiqua" w:cs="Book Antiqua"/>
          <w:sz w:val="24"/>
          <w:szCs w:val="24"/>
        </w:rPr>
        <w:t xml:space="preserve">international </w:t>
      </w:r>
      <w:r w:rsidR="00D27747">
        <w:rPr>
          <w:rFonts w:ascii="Book Antiqua" w:eastAsia="Times New Roman" w:hAnsi="Book Antiqua" w:cs="Book Antiqua"/>
          <w:sz w:val="24"/>
          <w:szCs w:val="24"/>
        </w:rPr>
        <w:t xml:space="preserve">Faith and Order </w:t>
      </w:r>
      <w:r w:rsidR="00D6063A">
        <w:rPr>
          <w:rFonts w:ascii="Book Antiqua" w:eastAsia="Times New Roman" w:hAnsi="Book Antiqua" w:cs="Book Antiqua"/>
          <w:sz w:val="24"/>
          <w:szCs w:val="24"/>
        </w:rPr>
        <w:t>dialogues</w:t>
      </w:r>
      <w:r w:rsidR="00D27747">
        <w:rPr>
          <w:rFonts w:ascii="Book Antiqua" w:eastAsia="Times New Roman" w:hAnsi="Book Antiqua" w:cs="Book Antiqua"/>
          <w:sz w:val="24"/>
          <w:szCs w:val="24"/>
        </w:rPr>
        <w:t xml:space="preserve"> </w:t>
      </w:r>
      <w:r w:rsidR="00CD581B">
        <w:rPr>
          <w:rFonts w:ascii="Book Antiqua" w:eastAsia="Times New Roman" w:hAnsi="Book Antiqua" w:cs="Book Antiqua"/>
          <w:sz w:val="24"/>
          <w:szCs w:val="24"/>
        </w:rPr>
        <w:t>tell</w:t>
      </w:r>
      <w:r w:rsidR="00D27747">
        <w:rPr>
          <w:rFonts w:ascii="Book Antiqua" w:eastAsia="Times New Roman" w:hAnsi="Book Antiqua" w:cs="Book Antiqua"/>
          <w:sz w:val="24"/>
          <w:szCs w:val="24"/>
        </w:rPr>
        <w:t xml:space="preserve"> </w:t>
      </w:r>
      <w:r w:rsidR="00CD581B">
        <w:rPr>
          <w:rFonts w:ascii="Book Antiqua" w:eastAsia="Times New Roman" w:hAnsi="Book Antiqua" w:cs="Book Antiqua"/>
          <w:sz w:val="24"/>
          <w:szCs w:val="24"/>
        </w:rPr>
        <w:t>remarkable</w:t>
      </w:r>
      <w:r w:rsidR="00D27747">
        <w:rPr>
          <w:rFonts w:ascii="Book Antiqua" w:eastAsia="Times New Roman" w:hAnsi="Book Antiqua" w:cs="Book Antiqua"/>
          <w:sz w:val="24"/>
          <w:szCs w:val="24"/>
        </w:rPr>
        <w:t xml:space="preserve"> stories </w:t>
      </w:r>
      <w:r w:rsidR="00CD581B">
        <w:rPr>
          <w:rFonts w:ascii="Book Antiqua" w:eastAsia="Times New Roman" w:hAnsi="Book Antiqua" w:cs="Book Antiqua"/>
          <w:sz w:val="24"/>
          <w:szCs w:val="24"/>
        </w:rPr>
        <w:t xml:space="preserve">of </w:t>
      </w:r>
      <w:r w:rsidR="00D6063A">
        <w:rPr>
          <w:rFonts w:ascii="Book Antiqua" w:eastAsia="Times New Roman" w:hAnsi="Book Antiqua" w:cs="Book Antiqua"/>
          <w:sz w:val="24"/>
          <w:szCs w:val="24"/>
        </w:rPr>
        <w:t xml:space="preserve">unexpected consensus, shared worship, </w:t>
      </w:r>
      <w:r w:rsidR="000E48E5">
        <w:rPr>
          <w:rFonts w:ascii="Book Antiqua" w:eastAsia="Times New Roman" w:hAnsi="Book Antiqua" w:cs="Book Antiqua"/>
          <w:sz w:val="24"/>
          <w:szCs w:val="24"/>
        </w:rPr>
        <w:t>affectionate</w:t>
      </w:r>
      <w:r w:rsidR="00D6063A">
        <w:rPr>
          <w:rFonts w:ascii="Book Antiqua" w:eastAsia="Times New Roman" w:hAnsi="Book Antiqua" w:cs="Book Antiqua"/>
          <w:sz w:val="24"/>
          <w:szCs w:val="24"/>
        </w:rPr>
        <w:t xml:space="preserve"> laughter</w:t>
      </w:r>
      <w:r w:rsidR="0049378F">
        <w:rPr>
          <w:rFonts w:ascii="Book Antiqua" w:eastAsia="Times New Roman" w:hAnsi="Book Antiqua" w:cs="Book Antiqua"/>
          <w:sz w:val="24"/>
          <w:szCs w:val="24"/>
        </w:rPr>
        <w:t xml:space="preserve"> and other movements of the Holy Spirit.  Ask one who is a little older and you may even be able to hear about the </w:t>
      </w:r>
      <w:r w:rsidR="00D27747">
        <w:rPr>
          <w:rFonts w:ascii="Book Antiqua" w:eastAsia="Times New Roman" w:hAnsi="Book Antiqua" w:cs="Book Antiqua"/>
          <w:sz w:val="24"/>
          <w:szCs w:val="24"/>
        </w:rPr>
        <w:t>heady days immediately following the Second Vatican Council</w:t>
      </w:r>
      <w:r w:rsidR="0049378F">
        <w:rPr>
          <w:rFonts w:ascii="Book Antiqua" w:eastAsia="Times New Roman" w:hAnsi="Book Antiqua" w:cs="Book Antiqua"/>
          <w:sz w:val="24"/>
          <w:szCs w:val="24"/>
        </w:rPr>
        <w:t xml:space="preserve">.  </w:t>
      </w:r>
      <w:r w:rsidR="00D6063A">
        <w:rPr>
          <w:rFonts w:ascii="Book Antiqua" w:eastAsia="Times New Roman" w:hAnsi="Book Antiqua" w:cs="Book Antiqua"/>
          <w:sz w:val="24"/>
          <w:szCs w:val="24"/>
        </w:rPr>
        <w:t xml:space="preserve"> </w:t>
      </w:r>
    </w:p>
    <w:p w14:paraId="5E394831" w14:textId="62B11405" w:rsidR="008B27DA" w:rsidRDefault="00D6063A" w:rsidP="008B27DA">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Michael Fahey (Roman Catholic) has written that in the earliest years of the twentieth century, the Roman Catholic Church “only tolerated Protestantism as one tolerates bad weather, ill health or error that one is helpless to correct.</w:t>
      </w:r>
      <w:r w:rsidR="004B0A88">
        <w:rPr>
          <w:rFonts w:ascii="Book Antiqua" w:eastAsia="Times New Roman" w:hAnsi="Book Antiqua" w:cs="Book Antiqua"/>
          <w:sz w:val="24"/>
          <w:szCs w:val="24"/>
        </w:rPr>
        <w:t xml:space="preserve">  Rome looked askance on the ecumenical movement.</w:t>
      </w:r>
      <w:r>
        <w:rPr>
          <w:rFonts w:ascii="Book Antiqua" w:eastAsia="Times New Roman" w:hAnsi="Book Antiqua" w:cs="Book Antiqua"/>
          <w:sz w:val="24"/>
          <w:szCs w:val="24"/>
        </w:rPr>
        <w:t xml:space="preserve">” </w:t>
      </w:r>
      <w:r w:rsidR="009760FD">
        <w:rPr>
          <w:rStyle w:val="FootnoteReference"/>
          <w:rFonts w:ascii="Book Antiqua" w:eastAsia="Times New Roman" w:hAnsi="Book Antiqua" w:cs="Book Antiqua"/>
          <w:sz w:val="24"/>
          <w:szCs w:val="24"/>
        </w:rPr>
        <w:footnoteReference w:id="4"/>
      </w:r>
      <w:r>
        <w:rPr>
          <w:rFonts w:ascii="Book Antiqua" w:eastAsia="Times New Roman" w:hAnsi="Book Antiqua" w:cs="Book Antiqua"/>
          <w:sz w:val="24"/>
          <w:szCs w:val="24"/>
        </w:rPr>
        <w:t xml:space="preserve"> </w:t>
      </w:r>
      <w:r w:rsidR="009760FD">
        <w:rPr>
          <w:rFonts w:ascii="Book Antiqua" w:eastAsia="Times New Roman" w:hAnsi="Book Antiqua" w:cs="Book Antiqua"/>
          <w:sz w:val="24"/>
          <w:szCs w:val="24"/>
        </w:rPr>
        <w:t xml:space="preserve"> </w:t>
      </w:r>
      <w:r w:rsidR="00044202">
        <w:rPr>
          <w:rFonts w:ascii="Book Antiqua" w:eastAsia="Times New Roman" w:hAnsi="Book Antiqua" w:cs="Book Antiqua"/>
          <w:sz w:val="24"/>
          <w:szCs w:val="24"/>
        </w:rPr>
        <w:t xml:space="preserve"> Many Catholic leaders distrusted the missionary impulse that had </w:t>
      </w:r>
      <w:r w:rsidR="008B27DA">
        <w:rPr>
          <w:rFonts w:ascii="Book Antiqua" w:eastAsia="Times New Roman" w:hAnsi="Book Antiqua" w:cs="Book Antiqua"/>
          <w:sz w:val="24"/>
          <w:szCs w:val="24"/>
        </w:rPr>
        <w:t>given birth to</w:t>
      </w:r>
      <w:r w:rsidR="00044202">
        <w:rPr>
          <w:rFonts w:ascii="Book Antiqua" w:eastAsia="Times New Roman" w:hAnsi="Book Antiqua" w:cs="Book Antiqua"/>
          <w:sz w:val="24"/>
          <w:szCs w:val="24"/>
        </w:rPr>
        <w:t xml:space="preserve"> the World Council of Churches, </w:t>
      </w:r>
      <w:r w:rsidR="008B27DA">
        <w:rPr>
          <w:rFonts w:ascii="Book Antiqua" w:eastAsia="Times New Roman" w:hAnsi="Book Antiqua" w:cs="Book Antiqua"/>
          <w:sz w:val="24"/>
          <w:szCs w:val="24"/>
        </w:rPr>
        <w:t xml:space="preserve">fearing proselytization (the making of converts) among Catholics.  </w:t>
      </w:r>
      <w:r w:rsidR="00044202">
        <w:rPr>
          <w:rFonts w:ascii="Book Antiqua" w:eastAsia="Times New Roman" w:hAnsi="Book Antiqua" w:cs="Book Antiqua"/>
          <w:sz w:val="24"/>
          <w:szCs w:val="24"/>
        </w:rPr>
        <w:t xml:space="preserve">Protestants had </w:t>
      </w:r>
      <w:r w:rsidR="008B27DA">
        <w:rPr>
          <w:rFonts w:ascii="Book Antiqua" w:eastAsia="Times New Roman" w:hAnsi="Book Antiqua" w:cs="Book Antiqua"/>
          <w:sz w:val="24"/>
          <w:szCs w:val="24"/>
        </w:rPr>
        <w:t xml:space="preserve">their own </w:t>
      </w:r>
      <w:r w:rsidR="00044202">
        <w:rPr>
          <w:rFonts w:ascii="Book Antiqua" w:eastAsia="Times New Roman" w:hAnsi="Book Antiqua" w:cs="Book Antiqua"/>
          <w:sz w:val="24"/>
          <w:szCs w:val="24"/>
        </w:rPr>
        <w:t>similar fears.</w:t>
      </w:r>
      <w:r w:rsidR="008B27DA">
        <w:rPr>
          <w:rFonts w:ascii="Book Antiqua" w:eastAsia="Times New Roman" w:hAnsi="Book Antiqua" w:cs="Book Antiqua"/>
          <w:sz w:val="24"/>
          <w:szCs w:val="24"/>
        </w:rPr>
        <w:t xml:space="preserve">  However, b</w:t>
      </w:r>
      <w:r>
        <w:rPr>
          <w:rFonts w:ascii="Book Antiqua" w:eastAsia="Times New Roman" w:hAnsi="Book Antiqua" w:cs="Book Antiqua"/>
          <w:sz w:val="24"/>
          <w:szCs w:val="24"/>
        </w:rPr>
        <w:t>y the 1950’s</w:t>
      </w:r>
      <w:r w:rsidR="008B27DA">
        <w:rPr>
          <w:rFonts w:ascii="Book Antiqua" w:eastAsia="Times New Roman" w:hAnsi="Book Antiqua" w:cs="Book Antiqua"/>
          <w:sz w:val="24"/>
          <w:szCs w:val="24"/>
        </w:rPr>
        <w:t>,</w:t>
      </w:r>
      <w:r>
        <w:rPr>
          <w:rFonts w:ascii="Book Antiqua" w:eastAsia="Times New Roman" w:hAnsi="Book Antiqua" w:cs="Book Antiqua"/>
          <w:sz w:val="24"/>
          <w:szCs w:val="24"/>
        </w:rPr>
        <w:t xml:space="preserve"> </w:t>
      </w:r>
      <w:r w:rsidR="008B27DA">
        <w:rPr>
          <w:rFonts w:ascii="Book Antiqua" w:eastAsia="Times New Roman" w:hAnsi="Book Antiqua" w:cs="Book Antiqua"/>
          <w:sz w:val="24"/>
          <w:szCs w:val="24"/>
        </w:rPr>
        <w:t>attitudes began to change.</w:t>
      </w:r>
      <w:r>
        <w:rPr>
          <w:rFonts w:ascii="Book Antiqua" w:eastAsia="Times New Roman" w:hAnsi="Book Antiqua" w:cs="Book Antiqua"/>
          <w:sz w:val="24"/>
          <w:szCs w:val="24"/>
        </w:rPr>
        <w:t xml:space="preserve">  Advances in </w:t>
      </w:r>
      <w:r w:rsidR="009760FD">
        <w:rPr>
          <w:rFonts w:ascii="Book Antiqua" w:eastAsia="Times New Roman" w:hAnsi="Book Antiqua" w:cs="Book Antiqua"/>
          <w:sz w:val="24"/>
          <w:szCs w:val="24"/>
        </w:rPr>
        <w:t>New Testament interpretation</w:t>
      </w:r>
      <w:r>
        <w:rPr>
          <w:rFonts w:ascii="Book Antiqua" w:eastAsia="Times New Roman" w:hAnsi="Book Antiqua" w:cs="Book Antiqua"/>
          <w:sz w:val="24"/>
          <w:szCs w:val="24"/>
        </w:rPr>
        <w:t xml:space="preserve"> </w:t>
      </w:r>
      <w:r w:rsidR="008B27DA">
        <w:rPr>
          <w:rFonts w:ascii="Book Antiqua" w:eastAsia="Times New Roman" w:hAnsi="Book Antiqua" w:cs="Book Antiqua"/>
          <w:sz w:val="24"/>
          <w:szCs w:val="24"/>
        </w:rPr>
        <w:t>revealed</w:t>
      </w:r>
      <w:r>
        <w:rPr>
          <w:rFonts w:ascii="Book Antiqua" w:eastAsia="Times New Roman" w:hAnsi="Book Antiqua" w:cs="Book Antiqua"/>
          <w:sz w:val="24"/>
          <w:szCs w:val="24"/>
        </w:rPr>
        <w:t xml:space="preserve"> more than one</w:t>
      </w:r>
      <w:r w:rsidR="009760FD">
        <w:rPr>
          <w:rFonts w:ascii="Book Antiqua" w:eastAsia="Times New Roman" w:hAnsi="Book Antiqua" w:cs="Book Antiqua"/>
          <w:sz w:val="24"/>
          <w:szCs w:val="24"/>
        </w:rPr>
        <w:t xml:space="preserve"> </w:t>
      </w:r>
      <w:r w:rsidR="008B27DA">
        <w:rPr>
          <w:rFonts w:ascii="Book Antiqua" w:eastAsia="Times New Roman" w:hAnsi="Book Antiqua" w:cs="Book Antiqua"/>
          <w:sz w:val="24"/>
          <w:szCs w:val="24"/>
        </w:rPr>
        <w:t xml:space="preserve">possible </w:t>
      </w:r>
      <w:r w:rsidR="009760FD">
        <w:rPr>
          <w:rFonts w:ascii="Book Antiqua" w:eastAsia="Times New Roman" w:hAnsi="Book Antiqua" w:cs="Book Antiqua"/>
          <w:sz w:val="24"/>
          <w:szCs w:val="24"/>
        </w:rPr>
        <w:t xml:space="preserve">vision for the structure and governance of </w:t>
      </w:r>
      <w:r w:rsidR="008B27DA">
        <w:rPr>
          <w:rFonts w:ascii="Book Antiqua" w:eastAsia="Times New Roman" w:hAnsi="Book Antiqua" w:cs="Book Antiqua"/>
          <w:sz w:val="24"/>
          <w:szCs w:val="24"/>
        </w:rPr>
        <w:t>Christian churches</w:t>
      </w:r>
      <w:r w:rsidR="009760FD">
        <w:rPr>
          <w:rFonts w:ascii="Book Antiqua" w:eastAsia="Times New Roman" w:hAnsi="Book Antiqua" w:cs="Book Antiqua"/>
          <w:sz w:val="24"/>
          <w:szCs w:val="24"/>
        </w:rPr>
        <w:t xml:space="preserve">.  Renowned theologians in both the Catholic and Protestant worlds began to make significant overtures toward one another.  </w:t>
      </w:r>
      <w:r w:rsidR="008B27DA">
        <w:rPr>
          <w:rFonts w:ascii="Book Antiqua" w:eastAsia="Times New Roman" w:hAnsi="Book Antiqua" w:cs="Book Antiqua"/>
          <w:sz w:val="24"/>
          <w:szCs w:val="24"/>
        </w:rPr>
        <w:t xml:space="preserve"> Yet no one was prepared for the dramatic role that ecumenical theology would play at Vatican II.</w:t>
      </w:r>
    </w:p>
    <w:p w14:paraId="29E8DE0D" w14:textId="77777777" w:rsidR="00AC0D0B" w:rsidRDefault="009760FD" w:rsidP="00AC0D0B">
      <w:pPr>
        <w:spacing w:line="360" w:lineRule="auto"/>
        <w:rPr>
          <w:rFonts w:ascii="Book Antiqua" w:eastAsia="Times New Roman" w:hAnsi="Book Antiqua" w:cs="Book Antiqua"/>
          <w:sz w:val="24"/>
          <w:szCs w:val="24"/>
        </w:rPr>
      </w:pPr>
      <w:r w:rsidRPr="009760FD">
        <w:rPr>
          <w:rFonts w:ascii="Book Antiqua" w:eastAsia="Times New Roman" w:hAnsi="Book Antiqua" w:cs="Book Antiqua"/>
          <w:sz w:val="24"/>
          <w:szCs w:val="24"/>
        </w:rPr>
        <w:tab/>
        <w:t xml:space="preserve">In 1960, Pope John XXIII </w:t>
      </w:r>
      <w:r w:rsidR="00F91ABF">
        <w:rPr>
          <w:rFonts w:ascii="Book Antiqua" w:eastAsia="Times New Roman" w:hAnsi="Book Antiqua" w:cs="Book Antiqua"/>
          <w:sz w:val="24"/>
          <w:szCs w:val="24"/>
        </w:rPr>
        <w:t>took the surprising step of establishing a</w:t>
      </w:r>
      <w:r w:rsidRPr="009760FD">
        <w:rPr>
          <w:rFonts w:ascii="Book Antiqua" w:eastAsia="Times New Roman" w:hAnsi="Book Antiqua" w:cs="Book Antiqua"/>
          <w:sz w:val="24"/>
          <w:szCs w:val="24"/>
        </w:rPr>
        <w:t xml:space="preserve"> "Secretariat for Promoting Christian Unity</w:t>
      </w:r>
      <w:r w:rsidR="00F91ABF">
        <w:rPr>
          <w:rFonts w:ascii="Book Antiqua" w:eastAsia="Times New Roman" w:hAnsi="Book Antiqua" w:cs="Book Antiqua"/>
          <w:sz w:val="24"/>
          <w:szCs w:val="24"/>
        </w:rPr>
        <w:t>” and ask</w:t>
      </w:r>
      <w:r w:rsidR="00CD581B">
        <w:rPr>
          <w:rFonts w:ascii="Book Antiqua" w:eastAsia="Times New Roman" w:hAnsi="Book Antiqua" w:cs="Book Antiqua"/>
          <w:sz w:val="24"/>
          <w:szCs w:val="24"/>
        </w:rPr>
        <w:t>ed</w:t>
      </w:r>
      <w:r w:rsidR="00F91ABF">
        <w:rPr>
          <w:rFonts w:ascii="Book Antiqua" w:eastAsia="Times New Roman" w:hAnsi="Book Antiqua" w:cs="Book Antiqua"/>
          <w:sz w:val="24"/>
          <w:szCs w:val="24"/>
        </w:rPr>
        <w:t xml:space="preserve"> its members to begin preparing documents for consideration at the upcoming Council.  </w:t>
      </w:r>
      <w:r w:rsidRPr="009760FD">
        <w:rPr>
          <w:rFonts w:ascii="Book Antiqua" w:eastAsia="Times New Roman" w:hAnsi="Book Antiqua" w:cs="Book Antiqua"/>
          <w:sz w:val="24"/>
          <w:szCs w:val="24"/>
        </w:rPr>
        <w:t xml:space="preserve">In 1962, </w:t>
      </w:r>
      <w:r w:rsidR="00F91ABF">
        <w:rPr>
          <w:rFonts w:ascii="Book Antiqua" w:eastAsia="Times New Roman" w:hAnsi="Book Antiqua" w:cs="Book Antiqua"/>
          <w:sz w:val="24"/>
          <w:szCs w:val="24"/>
        </w:rPr>
        <w:t xml:space="preserve">he promoted the Secretariat to the same priority level as other preparatory bodies and made its mandate more specific.  From this commission would emerge </w:t>
      </w:r>
      <w:r w:rsidR="001A496E">
        <w:rPr>
          <w:rFonts w:ascii="Book Antiqua" w:eastAsia="Times New Roman" w:hAnsi="Book Antiqua" w:cs="Book Antiqua"/>
          <w:sz w:val="24"/>
          <w:szCs w:val="24"/>
        </w:rPr>
        <w:t>three</w:t>
      </w:r>
      <w:r w:rsidR="00F91ABF">
        <w:rPr>
          <w:rFonts w:ascii="Book Antiqua" w:eastAsia="Times New Roman" w:hAnsi="Book Antiqua" w:cs="Book Antiqua"/>
          <w:sz w:val="24"/>
          <w:szCs w:val="24"/>
        </w:rPr>
        <w:t xml:space="preserve"> key documents, named for the first two </w:t>
      </w:r>
      <w:r w:rsidR="001A496E">
        <w:rPr>
          <w:rFonts w:ascii="Book Antiqua" w:eastAsia="Times New Roman" w:hAnsi="Book Antiqua" w:cs="Book Antiqua"/>
          <w:sz w:val="24"/>
          <w:szCs w:val="24"/>
        </w:rPr>
        <w:t xml:space="preserve">Latin </w:t>
      </w:r>
      <w:r w:rsidR="00F91ABF">
        <w:rPr>
          <w:rFonts w:ascii="Book Antiqua" w:eastAsia="Times New Roman" w:hAnsi="Book Antiqua" w:cs="Book Antiqua"/>
          <w:sz w:val="24"/>
          <w:szCs w:val="24"/>
        </w:rPr>
        <w:t xml:space="preserve">words </w:t>
      </w:r>
      <w:r w:rsidR="001A496E">
        <w:rPr>
          <w:rFonts w:ascii="Book Antiqua" w:eastAsia="Times New Roman" w:hAnsi="Book Antiqua" w:cs="Book Antiqua"/>
          <w:sz w:val="24"/>
          <w:szCs w:val="24"/>
        </w:rPr>
        <w:t>to appear in the text</w:t>
      </w:r>
      <w:r w:rsidR="00F91ABF">
        <w:rPr>
          <w:rFonts w:ascii="Book Antiqua" w:eastAsia="Times New Roman" w:hAnsi="Book Antiqua" w:cs="Book Antiqua"/>
          <w:sz w:val="24"/>
          <w:szCs w:val="24"/>
        </w:rPr>
        <w:t xml:space="preserve">: </w:t>
      </w:r>
      <w:bookmarkStart w:id="5" w:name="_Hlk517697663"/>
      <w:r w:rsidR="00F91ABF" w:rsidRPr="00F91ABF">
        <w:rPr>
          <w:rFonts w:ascii="Book Antiqua" w:eastAsia="Times New Roman" w:hAnsi="Book Antiqua" w:cs="Book Antiqua"/>
          <w:i/>
          <w:sz w:val="24"/>
          <w:szCs w:val="24"/>
        </w:rPr>
        <w:t xml:space="preserve">Unitatis </w:t>
      </w:r>
      <w:r w:rsidR="001A496E">
        <w:rPr>
          <w:rFonts w:ascii="Book Antiqua" w:eastAsia="Times New Roman" w:hAnsi="Book Antiqua" w:cs="Book Antiqua"/>
          <w:i/>
          <w:sz w:val="24"/>
          <w:szCs w:val="24"/>
        </w:rPr>
        <w:t>r</w:t>
      </w:r>
      <w:r w:rsidR="00F91ABF" w:rsidRPr="00F91ABF">
        <w:rPr>
          <w:rFonts w:ascii="Book Antiqua" w:eastAsia="Times New Roman" w:hAnsi="Book Antiqua" w:cs="Book Antiqua"/>
          <w:i/>
          <w:sz w:val="24"/>
          <w:szCs w:val="24"/>
        </w:rPr>
        <w:t>edintegratio</w:t>
      </w:r>
      <w:r w:rsidR="00F91ABF">
        <w:rPr>
          <w:rFonts w:ascii="Book Antiqua" w:eastAsia="Times New Roman" w:hAnsi="Book Antiqua" w:cs="Book Antiqua"/>
          <w:i/>
          <w:sz w:val="24"/>
          <w:szCs w:val="24"/>
        </w:rPr>
        <w:t xml:space="preserve"> </w:t>
      </w:r>
      <w:r w:rsidR="001A496E">
        <w:rPr>
          <w:rFonts w:ascii="Book Antiqua" w:eastAsia="Times New Roman" w:hAnsi="Book Antiqua" w:cs="Book Antiqua"/>
          <w:sz w:val="24"/>
          <w:szCs w:val="24"/>
        </w:rPr>
        <w:t xml:space="preserve">(on ecumenism), </w:t>
      </w:r>
      <w:r w:rsidR="001A496E" w:rsidRPr="001A496E">
        <w:rPr>
          <w:rFonts w:ascii="Book Antiqua" w:eastAsia="Times New Roman" w:hAnsi="Book Antiqua" w:cs="Book Antiqua"/>
          <w:i/>
          <w:sz w:val="24"/>
          <w:szCs w:val="24"/>
        </w:rPr>
        <w:t>Nostre</w:t>
      </w:r>
      <w:r w:rsidR="001A496E">
        <w:rPr>
          <w:rFonts w:ascii="Book Antiqua" w:eastAsia="Times New Roman" w:hAnsi="Book Antiqua" w:cs="Book Antiqua"/>
          <w:sz w:val="24"/>
          <w:szCs w:val="24"/>
        </w:rPr>
        <w:t xml:space="preserve"> </w:t>
      </w:r>
      <w:r w:rsidR="001A496E" w:rsidRPr="001A496E">
        <w:rPr>
          <w:rFonts w:ascii="Book Antiqua" w:eastAsia="Times New Roman" w:hAnsi="Book Antiqua" w:cs="Book Antiqua"/>
          <w:i/>
          <w:sz w:val="24"/>
          <w:szCs w:val="24"/>
        </w:rPr>
        <w:t>aetate</w:t>
      </w:r>
      <w:r w:rsidR="001A496E">
        <w:rPr>
          <w:rFonts w:ascii="Book Antiqua" w:eastAsia="Times New Roman" w:hAnsi="Book Antiqua" w:cs="Book Antiqua"/>
          <w:i/>
          <w:sz w:val="24"/>
          <w:szCs w:val="24"/>
        </w:rPr>
        <w:t xml:space="preserve"> </w:t>
      </w:r>
      <w:r w:rsidR="001A496E">
        <w:rPr>
          <w:rFonts w:ascii="Book Antiqua" w:eastAsia="Times New Roman" w:hAnsi="Book Antiqua" w:cs="Book Antiqua"/>
          <w:sz w:val="24"/>
          <w:szCs w:val="24"/>
        </w:rPr>
        <w:t xml:space="preserve">(on </w:t>
      </w:r>
      <w:r w:rsidR="001A496E">
        <w:rPr>
          <w:rFonts w:ascii="Book Antiqua" w:eastAsia="Times New Roman" w:hAnsi="Book Antiqua" w:cs="Book Antiqua"/>
          <w:sz w:val="24"/>
          <w:szCs w:val="24"/>
        </w:rPr>
        <w:lastRenderedPageBreak/>
        <w:t xml:space="preserve">the non-Christian religions, remarkable for its </w:t>
      </w:r>
      <w:r w:rsidR="001A496E" w:rsidRPr="001A496E">
        <w:rPr>
          <w:rFonts w:ascii="Book Antiqua" w:eastAsia="Times New Roman" w:hAnsi="Book Antiqua" w:cs="Book Antiqua"/>
          <w:sz w:val="24"/>
          <w:szCs w:val="24"/>
        </w:rPr>
        <w:t>emphasis on</w:t>
      </w:r>
      <w:r w:rsidR="001A496E">
        <w:rPr>
          <w:rFonts w:ascii="Book Antiqua" w:eastAsia="Times New Roman" w:hAnsi="Book Antiqua" w:cs="Book Antiqua"/>
          <w:sz w:val="24"/>
          <w:szCs w:val="24"/>
        </w:rPr>
        <w:t xml:space="preserve"> dialogue), and </w:t>
      </w:r>
      <w:r w:rsidR="001A496E" w:rsidRPr="001A496E">
        <w:rPr>
          <w:rFonts w:ascii="Book Antiqua" w:eastAsia="Times New Roman" w:hAnsi="Book Antiqua" w:cs="Book Antiqua"/>
          <w:i/>
          <w:sz w:val="24"/>
          <w:szCs w:val="24"/>
        </w:rPr>
        <w:t>Dignitatis Humanae</w:t>
      </w:r>
      <w:r w:rsidR="001A496E">
        <w:rPr>
          <w:rFonts w:ascii="Book Antiqua" w:eastAsia="Times New Roman" w:hAnsi="Book Antiqua" w:cs="Book Antiqua"/>
          <w:i/>
          <w:sz w:val="24"/>
          <w:szCs w:val="24"/>
        </w:rPr>
        <w:t xml:space="preserve"> </w:t>
      </w:r>
      <w:r w:rsidR="001A496E">
        <w:rPr>
          <w:rFonts w:ascii="Book Antiqua" w:eastAsia="Times New Roman" w:hAnsi="Book Antiqua" w:cs="Book Antiqua"/>
          <w:sz w:val="24"/>
          <w:szCs w:val="24"/>
        </w:rPr>
        <w:t xml:space="preserve">(on religious liberty).  </w:t>
      </w:r>
      <w:bookmarkEnd w:id="5"/>
      <w:r w:rsidR="001A496E">
        <w:rPr>
          <w:rFonts w:ascii="Book Antiqua" w:eastAsia="Times New Roman" w:hAnsi="Book Antiqua" w:cs="Book Antiqua"/>
          <w:sz w:val="24"/>
          <w:szCs w:val="24"/>
        </w:rPr>
        <w:t xml:space="preserve">The Secretariat for Promoting Christian Unity also worked with the doctrinal commission to produce </w:t>
      </w:r>
      <w:r w:rsidR="001A496E" w:rsidRPr="001A496E">
        <w:rPr>
          <w:rFonts w:ascii="Book Antiqua" w:eastAsia="Times New Roman" w:hAnsi="Book Antiqua" w:cs="Book Antiqua"/>
          <w:i/>
          <w:sz w:val="24"/>
          <w:szCs w:val="24"/>
        </w:rPr>
        <w:t xml:space="preserve">Dei </w:t>
      </w:r>
      <w:r w:rsidR="001A496E">
        <w:rPr>
          <w:rFonts w:ascii="Book Antiqua" w:eastAsia="Times New Roman" w:hAnsi="Book Antiqua" w:cs="Book Antiqua"/>
          <w:i/>
          <w:sz w:val="24"/>
          <w:szCs w:val="24"/>
        </w:rPr>
        <w:t>v</w:t>
      </w:r>
      <w:r w:rsidR="001A496E" w:rsidRPr="001A496E">
        <w:rPr>
          <w:rFonts w:ascii="Book Antiqua" w:eastAsia="Times New Roman" w:hAnsi="Book Antiqua" w:cs="Book Antiqua"/>
          <w:i/>
          <w:sz w:val="24"/>
          <w:szCs w:val="24"/>
        </w:rPr>
        <w:t>erbum</w:t>
      </w:r>
      <w:r w:rsidR="001A496E">
        <w:rPr>
          <w:rFonts w:ascii="Book Antiqua" w:eastAsia="Times New Roman" w:hAnsi="Book Antiqua" w:cs="Book Antiqua"/>
          <w:i/>
          <w:sz w:val="24"/>
          <w:szCs w:val="24"/>
        </w:rPr>
        <w:t xml:space="preserve">, </w:t>
      </w:r>
      <w:r w:rsidR="001A496E" w:rsidRPr="009760FD">
        <w:rPr>
          <w:rFonts w:ascii="Book Antiqua" w:eastAsia="Times New Roman" w:hAnsi="Book Antiqua" w:cs="Book Antiqua"/>
          <w:sz w:val="24"/>
          <w:szCs w:val="24"/>
        </w:rPr>
        <w:t>the Dogmatic Constitution on Divine Revelation</w:t>
      </w:r>
      <w:r w:rsidR="001A496E">
        <w:rPr>
          <w:rFonts w:ascii="Book Antiqua" w:eastAsia="Times New Roman" w:hAnsi="Book Antiqua" w:cs="Book Antiqua"/>
          <w:sz w:val="24"/>
          <w:szCs w:val="24"/>
        </w:rPr>
        <w:t>,</w:t>
      </w:r>
      <w:r w:rsidR="00CD581B">
        <w:rPr>
          <w:rFonts w:ascii="Book Antiqua" w:eastAsia="Times New Roman" w:hAnsi="Book Antiqua" w:cs="Book Antiqua"/>
          <w:sz w:val="24"/>
          <w:szCs w:val="24"/>
        </w:rPr>
        <w:t xml:space="preserve"> which has built important bridges between Catholics and the churches of the Reformation (</w:t>
      </w:r>
      <w:r w:rsidR="00E128C1">
        <w:rPr>
          <w:rFonts w:ascii="Book Antiqua" w:eastAsia="Times New Roman" w:hAnsi="Book Antiqua" w:cs="Book Antiqua"/>
          <w:sz w:val="24"/>
          <w:szCs w:val="24"/>
        </w:rPr>
        <w:t xml:space="preserve">namely </w:t>
      </w:r>
      <w:r w:rsidR="00CD581B">
        <w:rPr>
          <w:rFonts w:ascii="Book Antiqua" w:eastAsia="Times New Roman" w:hAnsi="Book Antiqua" w:cs="Book Antiqua"/>
          <w:sz w:val="24"/>
          <w:szCs w:val="24"/>
        </w:rPr>
        <w:t>Lutheran and Reformed).</w:t>
      </w:r>
      <w:r w:rsidR="00E128C1">
        <w:rPr>
          <w:rFonts w:ascii="Book Antiqua" w:eastAsia="Times New Roman" w:hAnsi="Book Antiqua" w:cs="Book Antiqua"/>
          <w:sz w:val="24"/>
          <w:szCs w:val="24"/>
        </w:rPr>
        <w:t xml:space="preserve">  </w:t>
      </w:r>
      <w:r w:rsidR="00BF06BE">
        <w:rPr>
          <w:rFonts w:ascii="Book Antiqua" w:eastAsia="Times New Roman" w:hAnsi="Book Antiqua" w:cs="Book Antiqua"/>
          <w:sz w:val="24"/>
          <w:szCs w:val="24"/>
        </w:rPr>
        <w:t>During the council, o</w:t>
      </w:r>
      <w:r w:rsidR="003654B2" w:rsidRPr="009760FD">
        <w:rPr>
          <w:rFonts w:ascii="Book Antiqua" w:eastAsia="Times New Roman" w:hAnsi="Book Antiqua" w:cs="Book Antiqua"/>
          <w:sz w:val="24"/>
          <w:szCs w:val="24"/>
        </w:rPr>
        <w:t xml:space="preserve">ver </w:t>
      </w:r>
      <w:r w:rsidR="00B445E8">
        <w:rPr>
          <w:rFonts w:ascii="Book Antiqua" w:eastAsia="Times New Roman" w:hAnsi="Book Antiqua" w:cs="Book Antiqua"/>
          <w:sz w:val="24"/>
          <w:szCs w:val="24"/>
        </w:rPr>
        <w:t>hundred representatives from other Christian communions participated</w:t>
      </w:r>
      <w:r w:rsidR="003654B2" w:rsidRPr="009760FD">
        <w:rPr>
          <w:rFonts w:ascii="Book Antiqua" w:eastAsia="Times New Roman" w:hAnsi="Book Antiqua" w:cs="Book Antiqua"/>
          <w:sz w:val="24"/>
          <w:szCs w:val="24"/>
        </w:rPr>
        <w:t xml:space="preserve">, </w:t>
      </w:r>
      <w:r w:rsidR="00AC0D0B">
        <w:rPr>
          <w:rFonts w:ascii="Book Antiqua" w:eastAsia="Times New Roman" w:hAnsi="Book Antiqua" w:cs="Book Antiqua"/>
          <w:sz w:val="24"/>
          <w:szCs w:val="24"/>
        </w:rPr>
        <w:t>including</w:t>
      </w:r>
      <w:r w:rsidR="003654B2" w:rsidRPr="009760FD">
        <w:rPr>
          <w:rFonts w:ascii="Book Antiqua" w:eastAsia="Times New Roman" w:hAnsi="Book Antiqua" w:cs="Book Antiqua"/>
          <w:sz w:val="24"/>
          <w:szCs w:val="24"/>
        </w:rPr>
        <w:t xml:space="preserve"> two </w:t>
      </w:r>
      <w:r w:rsidR="00B445E8">
        <w:rPr>
          <w:rFonts w:ascii="Book Antiqua" w:eastAsia="Times New Roman" w:hAnsi="Book Antiqua" w:cs="Book Antiqua"/>
          <w:sz w:val="24"/>
          <w:szCs w:val="24"/>
        </w:rPr>
        <w:t>leaders from the World Council of Churches</w:t>
      </w:r>
      <w:r w:rsidR="003654B2" w:rsidRPr="009760FD">
        <w:rPr>
          <w:rFonts w:ascii="Book Antiqua" w:eastAsia="Times New Roman" w:hAnsi="Book Antiqua" w:cs="Book Antiqua"/>
          <w:sz w:val="24"/>
          <w:szCs w:val="24"/>
        </w:rPr>
        <w:t xml:space="preserve"> “who through the Secretariat had a remarkable influence on the Council.”</w:t>
      </w:r>
      <w:r w:rsidR="00B445E8">
        <w:rPr>
          <w:rStyle w:val="FootnoteReference"/>
          <w:rFonts w:ascii="Book Antiqua" w:eastAsia="Times New Roman" w:hAnsi="Book Antiqua" w:cs="Book Antiqua"/>
          <w:sz w:val="24"/>
          <w:szCs w:val="24"/>
        </w:rPr>
        <w:footnoteReference w:id="5"/>
      </w:r>
      <w:r w:rsidR="00B445E8">
        <w:rPr>
          <w:rFonts w:ascii="Book Antiqua" w:eastAsia="Times New Roman" w:hAnsi="Book Antiqua" w:cs="Book Antiqua"/>
          <w:sz w:val="24"/>
          <w:szCs w:val="24"/>
        </w:rPr>
        <w:t xml:space="preserve"> </w:t>
      </w:r>
      <w:r w:rsidR="0009518F">
        <w:rPr>
          <w:rFonts w:ascii="Book Antiqua" w:eastAsia="Times New Roman" w:hAnsi="Book Antiqua" w:cs="Book Antiqua"/>
          <w:sz w:val="24"/>
          <w:szCs w:val="24"/>
        </w:rPr>
        <w:t xml:space="preserve">  </w:t>
      </w:r>
    </w:p>
    <w:p w14:paraId="48CC9FE3" w14:textId="06E0C9BC" w:rsidR="003C2E76" w:rsidRDefault="0009518F" w:rsidP="00DE725D">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Fahey explains that these actions</w:t>
      </w:r>
      <w:r w:rsidR="00AC0D0B">
        <w:rPr>
          <w:rFonts w:ascii="Book Antiqua" w:eastAsia="Times New Roman" w:hAnsi="Book Antiqua" w:cs="Book Antiqua"/>
          <w:sz w:val="24"/>
          <w:szCs w:val="24"/>
        </w:rPr>
        <w:t xml:space="preserve"> by Pope John and the council fathers</w:t>
      </w:r>
      <w:r>
        <w:rPr>
          <w:rFonts w:ascii="Book Antiqua" w:eastAsia="Times New Roman" w:hAnsi="Book Antiqua" w:cs="Book Antiqua"/>
          <w:sz w:val="24"/>
          <w:szCs w:val="24"/>
        </w:rPr>
        <w:t xml:space="preserve"> were not haphazard. They were expressions of a growing conviction that “what binds Protestant and Catholic together is richer than what separates</w:t>
      </w:r>
      <w:r w:rsidR="00AC0D0B">
        <w:rPr>
          <w:rFonts w:ascii="Book Antiqua" w:eastAsia="Times New Roman" w:hAnsi="Book Antiqua" w:cs="Book Antiqua"/>
          <w:sz w:val="24"/>
          <w:szCs w:val="24"/>
        </w:rPr>
        <w:t>.</w:t>
      </w:r>
      <w:r>
        <w:rPr>
          <w:rFonts w:ascii="Book Antiqua" w:eastAsia="Times New Roman" w:hAnsi="Book Antiqua" w:cs="Book Antiqua"/>
          <w:sz w:val="24"/>
          <w:szCs w:val="24"/>
        </w:rPr>
        <w:t xml:space="preserve">” </w:t>
      </w:r>
      <w:r w:rsidR="00AC0D0B">
        <w:rPr>
          <w:rFonts w:ascii="Book Antiqua" w:eastAsia="Times New Roman" w:hAnsi="Book Antiqua" w:cs="Book Antiqua"/>
          <w:sz w:val="24"/>
          <w:szCs w:val="24"/>
        </w:rPr>
        <w:t>That bond or communion is the indwelling of the Holy Spirit in those who have been baptized, whether or not their baptism took place in a Catholic Church.</w:t>
      </w:r>
      <w:r>
        <w:rPr>
          <w:rStyle w:val="FootnoteReference"/>
          <w:rFonts w:ascii="Book Antiqua" w:eastAsia="Times New Roman" w:hAnsi="Book Antiqua" w:cs="Book Antiqua"/>
          <w:sz w:val="24"/>
          <w:szCs w:val="24"/>
        </w:rPr>
        <w:footnoteReference w:id="6"/>
      </w:r>
      <w:r>
        <w:rPr>
          <w:rFonts w:ascii="Book Antiqua" w:eastAsia="Times New Roman" w:hAnsi="Book Antiqua" w:cs="Book Antiqua"/>
          <w:sz w:val="24"/>
          <w:szCs w:val="24"/>
        </w:rPr>
        <w:t xml:space="preserve">   </w:t>
      </w:r>
      <w:r w:rsidR="00AC0D0B">
        <w:rPr>
          <w:rFonts w:ascii="Book Antiqua" w:eastAsia="Times New Roman" w:hAnsi="Book Antiqua" w:cs="Book Antiqua"/>
          <w:sz w:val="24"/>
          <w:szCs w:val="24"/>
        </w:rPr>
        <w:t xml:space="preserve">Thus </w:t>
      </w:r>
      <w:r w:rsidR="00AC0D0B" w:rsidRPr="00AC0D0B">
        <w:rPr>
          <w:rFonts w:ascii="Book Antiqua" w:eastAsia="Times New Roman" w:hAnsi="Book Antiqua" w:cs="Book Antiqua"/>
          <w:i/>
          <w:sz w:val="24"/>
          <w:szCs w:val="24"/>
        </w:rPr>
        <w:t>Unitatis redintegratio</w:t>
      </w:r>
      <w:r w:rsidR="00AC0D0B">
        <w:rPr>
          <w:rFonts w:ascii="Book Antiqua" w:eastAsia="Times New Roman" w:hAnsi="Book Antiqua" w:cs="Book Antiqua"/>
          <w:sz w:val="24"/>
          <w:szCs w:val="24"/>
        </w:rPr>
        <w:t xml:space="preserve"> affirmed that “all who have been justified by faith in baptism are incorporated into Christ; they therefore have a right to be called Christians, and with good reason are accepted as sisters and brothers in the Lord by the children of the Catholic Church.”</w:t>
      </w:r>
      <w:r w:rsidR="00AC0D0B">
        <w:rPr>
          <w:rStyle w:val="FootnoteReference"/>
          <w:rFonts w:ascii="Book Antiqua" w:eastAsia="Times New Roman" w:hAnsi="Book Antiqua" w:cs="Book Antiqua"/>
          <w:sz w:val="24"/>
          <w:szCs w:val="24"/>
        </w:rPr>
        <w:footnoteReference w:id="7"/>
      </w:r>
      <w:r w:rsidR="00AC0D0B">
        <w:rPr>
          <w:rFonts w:ascii="Book Antiqua" w:eastAsia="Times New Roman" w:hAnsi="Book Antiqua" w:cs="Book Antiqua"/>
          <w:sz w:val="24"/>
          <w:szCs w:val="24"/>
        </w:rPr>
        <w:t xml:space="preserve">  </w:t>
      </w:r>
      <w:r w:rsidR="009E1DCB">
        <w:rPr>
          <w:rFonts w:ascii="Book Antiqua" w:eastAsia="Times New Roman" w:hAnsi="Book Antiqua" w:cs="Book Antiqua"/>
          <w:sz w:val="24"/>
          <w:szCs w:val="24"/>
        </w:rPr>
        <w:t xml:space="preserve">The document suggests that </w:t>
      </w:r>
      <w:r w:rsidR="003C2E76">
        <w:rPr>
          <w:rFonts w:ascii="Book Antiqua" w:eastAsia="Times New Roman" w:hAnsi="Book Antiqua" w:cs="Book Antiqua"/>
          <w:sz w:val="24"/>
          <w:szCs w:val="24"/>
        </w:rPr>
        <w:t>the bond of communion</w:t>
      </w:r>
      <w:r w:rsidR="00AC0D0B" w:rsidRPr="009E1DCB">
        <w:rPr>
          <w:rFonts w:ascii="Book Antiqua" w:eastAsia="Times New Roman" w:hAnsi="Book Antiqua" w:cs="Book Antiqua"/>
          <w:i/>
          <w:sz w:val="24"/>
          <w:szCs w:val="24"/>
        </w:rPr>
        <w:t xml:space="preserve"> </w:t>
      </w:r>
      <w:r w:rsidR="009E1DCB">
        <w:rPr>
          <w:rFonts w:ascii="Book Antiqua" w:eastAsia="Times New Roman" w:hAnsi="Book Antiqua" w:cs="Book Antiqua"/>
          <w:sz w:val="24"/>
          <w:szCs w:val="24"/>
        </w:rPr>
        <w:t>between a Catholic and a Protestant is not perfect but “imperfect.”</w:t>
      </w:r>
      <w:r w:rsidR="00D70D20">
        <w:rPr>
          <w:rStyle w:val="FootnoteReference"/>
          <w:rFonts w:ascii="Book Antiqua" w:eastAsia="Times New Roman" w:hAnsi="Book Antiqua" w:cs="Book Antiqua"/>
          <w:sz w:val="24"/>
          <w:szCs w:val="24"/>
        </w:rPr>
        <w:footnoteReference w:id="8"/>
      </w:r>
      <w:r w:rsidR="009E1DCB">
        <w:rPr>
          <w:rFonts w:ascii="Book Antiqua" w:eastAsia="Times New Roman" w:hAnsi="Book Antiqua" w:cs="Book Antiqua"/>
          <w:sz w:val="24"/>
          <w:szCs w:val="24"/>
        </w:rPr>
        <w:t xml:space="preserve">  </w:t>
      </w:r>
      <w:r w:rsidR="003C2E76">
        <w:rPr>
          <w:rFonts w:ascii="Book Antiqua" w:eastAsia="Times New Roman" w:hAnsi="Book Antiqua" w:cs="Book Antiqua"/>
          <w:sz w:val="24"/>
          <w:szCs w:val="24"/>
        </w:rPr>
        <w:t xml:space="preserve">Nevertheless, </w:t>
      </w:r>
      <w:r w:rsidR="009E1DCB">
        <w:rPr>
          <w:rFonts w:ascii="Book Antiqua" w:eastAsia="Times New Roman" w:hAnsi="Book Antiqua" w:cs="Book Antiqua"/>
          <w:sz w:val="24"/>
          <w:szCs w:val="24"/>
        </w:rPr>
        <w:t>since Vatican II</w:t>
      </w:r>
      <w:r w:rsidR="00EB4A20">
        <w:rPr>
          <w:rFonts w:ascii="Book Antiqua" w:eastAsia="Times New Roman" w:hAnsi="Book Antiqua" w:cs="Book Antiqua"/>
          <w:sz w:val="24"/>
          <w:szCs w:val="24"/>
        </w:rPr>
        <w:t xml:space="preserve">, </w:t>
      </w:r>
      <w:r w:rsidR="0016466B">
        <w:rPr>
          <w:rFonts w:ascii="Book Antiqua" w:eastAsia="Times New Roman" w:hAnsi="Book Antiqua" w:cs="Book Antiqua"/>
          <w:sz w:val="24"/>
          <w:szCs w:val="24"/>
        </w:rPr>
        <w:t xml:space="preserve">it is problematic for any Catholic to argue </w:t>
      </w:r>
      <w:r w:rsidR="00EB4A20">
        <w:rPr>
          <w:rFonts w:ascii="Book Antiqua" w:eastAsia="Times New Roman" w:hAnsi="Book Antiqua" w:cs="Book Antiqua"/>
          <w:sz w:val="24"/>
          <w:szCs w:val="24"/>
        </w:rPr>
        <w:t xml:space="preserve">that the true Church of Jesus Christ exists only in the Roman Catholic communion. </w:t>
      </w:r>
      <w:r w:rsidR="00D94086">
        <w:rPr>
          <w:rFonts w:ascii="Book Antiqua" w:eastAsia="Times New Roman" w:hAnsi="Book Antiqua" w:cs="Book Antiqua"/>
          <w:sz w:val="24"/>
          <w:szCs w:val="24"/>
        </w:rPr>
        <w:t>The</w:t>
      </w:r>
      <w:r w:rsidR="009E1DCB">
        <w:rPr>
          <w:rFonts w:ascii="Book Antiqua" w:eastAsia="Times New Roman" w:hAnsi="Book Antiqua" w:cs="Book Antiqua"/>
          <w:sz w:val="24"/>
          <w:szCs w:val="24"/>
        </w:rPr>
        <w:t xml:space="preserve"> true Church “subsists” in the Roman Catholic tradition </w:t>
      </w:r>
      <w:r w:rsidR="00D94086">
        <w:rPr>
          <w:rFonts w:ascii="Book Antiqua" w:eastAsia="Times New Roman" w:hAnsi="Book Antiqua" w:cs="Book Antiqua"/>
          <w:sz w:val="24"/>
          <w:szCs w:val="24"/>
        </w:rPr>
        <w:t>while also subsisting “</w:t>
      </w:r>
      <w:r w:rsidR="009E1DCB" w:rsidRPr="009760FD">
        <w:rPr>
          <w:rFonts w:ascii="Book Antiqua" w:eastAsia="Times New Roman" w:hAnsi="Book Antiqua" w:cs="Book Antiqua"/>
          <w:sz w:val="24"/>
          <w:szCs w:val="24"/>
        </w:rPr>
        <w:t xml:space="preserve">in the churches and ecclesial Communities not yet fully in communion with the Catholic Church, </w:t>
      </w:r>
      <w:proofErr w:type="gramStart"/>
      <w:r w:rsidR="009E1DCB" w:rsidRPr="009760FD">
        <w:rPr>
          <w:rFonts w:ascii="Book Antiqua" w:eastAsia="Times New Roman" w:hAnsi="Book Antiqua" w:cs="Book Antiqua"/>
          <w:sz w:val="24"/>
          <w:szCs w:val="24"/>
        </w:rPr>
        <w:t>on account of</w:t>
      </w:r>
      <w:proofErr w:type="gramEnd"/>
      <w:r w:rsidR="009E1DCB" w:rsidRPr="009760FD">
        <w:rPr>
          <w:rFonts w:ascii="Book Antiqua" w:eastAsia="Times New Roman" w:hAnsi="Book Antiqua" w:cs="Book Antiqua"/>
          <w:sz w:val="24"/>
          <w:szCs w:val="24"/>
        </w:rPr>
        <w:t xml:space="preserve"> the elements of sanctification and truth that are present in </w:t>
      </w:r>
      <w:r w:rsidR="009E1DCB" w:rsidRPr="009760FD">
        <w:rPr>
          <w:rFonts w:ascii="Book Antiqua" w:eastAsia="Times New Roman" w:hAnsi="Book Antiqua" w:cs="Book Antiqua"/>
          <w:sz w:val="24"/>
          <w:szCs w:val="24"/>
        </w:rPr>
        <w:lastRenderedPageBreak/>
        <w:t>them</w:t>
      </w:r>
      <w:r w:rsidR="009E1DCB">
        <w:rPr>
          <w:rFonts w:ascii="Book Antiqua" w:eastAsia="Times New Roman" w:hAnsi="Book Antiqua" w:cs="Book Antiqua"/>
          <w:sz w:val="24"/>
          <w:szCs w:val="24"/>
        </w:rPr>
        <w:t>.</w:t>
      </w:r>
      <w:r w:rsidR="009E1DCB" w:rsidRPr="009760FD">
        <w:rPr>
          <w:rFonts w:ascii="Book Antiqua" w:eastAsia="Times New Roman" w:hAnsi="Book Antiqua" w:cs="Book Antiqua"/>
          <w:sz w:val="24"/>
          <w:szCs w:val="24"/>
        </w:rPr>
        <w:t>”</w:t>
      </w:r>
      <w:r w:rsidR="00D94086">
        <w:rPr>
          <w:rStyle w:val="FootnoteReference"/>
          <w:rFonts w:ascii="Book Antiqua" w:eastAsia="Times New Roman" w:hAnsi="Book Antiqua" w:cs="Book Antiqua"/>
          <w:sz w:val="24"/>
          <w:szCs w:val="24"/>
        </w:rPr>
        <w:footnoteReference w:id="9"/>
      </w:r>
      <w:r w:rsidR="009E1DCB" w:rsidRPr="009760FD">
        <w:rPr>
          <w:rFonts w:ascii="Book Antiqua" w:eastAsia="Times New Roman" w:hAnsi="Book Antiqua" w:cs="Book Antiqua"/>
          <w:sz w:val="24"/>
          <w:szCs w:val="24"/>
        </w:rPr>
        <w:t xml:space="preserve"> </w:t>
      </w:r>
      <w:r w:rsidR="003C2E76">
        <w:rPr>
          <w:rFonts w:ascii="Book Antiqua" w:eastAsia="Times New Roman" w:hAnsi="Book Antiqua" w:cs="Book Antiqua"/>
          <w:sz w:val="24"/>
          <w:szCs w:val="24"/>
        </w:rPr>
        <w:t xml:space="preserve">  </w:t>
      </w:r>
      <w:r w:rsidR="003C2E76" w:rsidRPr="003C2E76">
        <w:rPr>
          <w:rFonts w:ascii="Book Antiqua" w:eastAsia="Times New Roman" w:hAnsi="Book Antiqua" w:cs="Book Antiqua"/>
          <w:sz w:val="24"/>
          <w:szCs w:val="24"/>
        </w:rPr>
        <w:t xml:space="preserve">In later chapters of this book, we will examine some of the differences of belief that, from a Catholic perspective, prevent perfect communion.  </w:t>
      </w:r>
    </w:p>
    <w:p w14:paraId="15CC651B" w14:textId="6950E0E3" w:rsidR="004C2EF5" w:rsidRDefault="003C2E76" w:rsidP="004C2EF5">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 xml:space="preserve">The ecumenical tone of </w:t>
      </w:r>
      <w:r w:rsidRPr="00F91ABF">
        <w:rPr>
          <w:rFonts w:ascii="Book Antiqua" w:eastAsia="Times New Roman" w:hAnsi="Book Antiqua" w:cs="Book Antiqua"/>
          <w:i/>
          <w:sz w:val="24"/>
          <w:szCs w:val="24"/>
        </w:rPr>
        <w:t xml:space="preserve">Unitatis </w:t>
      </w:r>
      <w:r>
        <w:rPr>
          <w:rFonts w:ascii="Book Antiqua" w:eastAsia="Times New Roman" w:hAnsi="Book Antiqua" w:cs="Book Antiqua"/>
          <w:i/>
          <w:sz w:val="24"/>
          <w:szCs w:val="24"/>
        </w:rPr>
        <w:t>r</w:t>
      </w:r>
      <w:r w:rsidRPr="00F91ABF">
        <w:rPr>
          <w:rFonts w:ascii="Book Antiqua" w:eastAsia="Times New Roman" w:hAnsi="Book Antiqua" w:cs="Book Antiqua"/>
          <w:i/>
          <w:sz w:val="24"/>
          <w:szCs w:val="24"/>
        </w:rPr>
        <w:t>edintegratio</w:t>
      </w:r>
      <w:r>
        <w:rPr>
          <w:rFonts w:ascii="Book Antiqua" w:eastAsia="Times New Roman" w:hAnsi="Book Antiqua" w:cs="Book Antiqua"/>
          <w:i/>
          <w:sz w:val="24"/>
          <w:szCs w:val="24"/>
        </w:rPr>
        <w:t xml:space="preserve">, </w:t>
      </w:r>
      <w:r w:rsidRPr="001A496E">
        <w:rPr>
          <w:rFonts w:ascii="Book Antiqua" w:eastAsia="Times New Roman" w:hAnsi="Book Antiqua" w:cs="Book Antiqua"/>
          <w:i/>
          <w:sz w:val="24"/>
          <w:szCs w:val="24"/>
        </w:rPr>
        <w:t>Nostre</w:t>
      </w:r>
      <w:r>
        <w:rPr>
          <w:rFonts w:ascii="Book Antiqua" w:eastAsia="Times New Roman" w:hAnsi="Book Antiqua" w:cs="Book Antiqua"/>
          <w:sz w:val="24"/>
          <w:szCs w:val="24"/>
        </w:rPr>
        <w:t xml:space="preserve"> </w:t>
      </w:r>
      <w:r w:rsidRPr="001A496E">
        <w:rPr>
          <w:rFonts w:ascii="Book Antiqua" w:eastAsia="Times New Roman" w:hAnsi="Book Antiqua" w:cs="Book Antiqua"/>
          <w:i/>
          <w:sz w:val="24"/>
          <w:szCs w:val="24"/>
        </w:rPr>
        <w:t>aetate</w:t>
      </w:r>
      <w:r>
        <w:rPr>
          <w:rFonts w:ascii="Book Antiqua" w:eastAsia="Times New Roman" w:hAnsi="Book Antiqua" w:cs="Book Antiqua"/>
          <w:i/>
          <w:sz w:val="24"/>
          <w:szCs w:val="24"/>
        </w:rPr>
        <w:t xml:space="preserve"> </w:t>
      </w:r>
      <w:r>
        <w:rPr>
          <w:rFonts w:ascii="Book Antiqua" w:eastAsia="Times New Roman" w:hAnsi="Book Antiqua" w:cs="Book Antiqua"/>
          <w:sz w:val="24"/>
          <w:szCs w:val="24"/>
        </w:rPr>
        <w:t xml:space="preserve">and </w:t>
      </w:r>
      <w:r w:rsidRPr="001A496E">
        <w:rPr>
          <w:rFonts w:ascii="Book Antiqua" w:eastAsia="Times New Roman" w:hAnsi="Book Antiqua" w:cs="Book Antiqua"/>
          <w:i/>
          <w:sz w:val="24"/>
          <w:szCs w:val="24"/>
        </w:rPr>
        <w:t>Dignitatis Humanae</w:t>
      </w:r>
      <w:r>
        <w:rPr>
          <w:rFonts w:ascii="Book Antiqua" w:eastAsia="Times New Roman" w:hAnsi="Book Antiqua" w:cs="Book Antiqua"/>
          <w:i/>
          <w:sz w:val="24"/>
          <w:szCs w:val="24"/>
        </w:rPr>
        <w:t xml:space="preserve"> </w:t>
      </w:r>
      <w:r>
        <w:rPr>
          <w:rFonts w:ascii="Book Antiqua" w:eastAsia="Times New Roman" w:hAnsi="Book Antiqua" w:cs="Book Antiqua"/>
          <w:sz w:val="24"/>
          <w:szCs w:val="24"/>
        </w:rPr>
        <w:t xml:space="preserve">did not emerge </w:t>
      </w:r>
      <w:r w:rsidR="000D7290">
        <w:rPr>
          <w:rFonts w:ascii="Book Antiqua" w:eastAsia="Times New Roman" w:hAnsi="Book Antiqua" w:cs="Book Antiqua"/>
          <w:sz w:val="24"/>
          <w:szCs w:val="24"/>
        </w:rPr>
        <w:t xml:space="preserve">spontaneously </w:t>
      </w:r>
      <w:r>
        <w:rPr>
          <w:rFonts w:ascii="Book Antiqua" w:eastAsia="Times New Roman" w:hAnsi="Book Antiqua" w:cs="Book Antiqua"/>
          <w:sz w:val="24"/>
          <w:szCs w:val="24"/>
        </w:rPr>
        <w:t xml:space="preserve">from a vacuum.  It echoed the work of contemporary Catholic theologians such as Yves Congar, </w:t>
      </w:r>
      <w:r w:rsidR="002B26E4">
        <w:rPr>
          <w:rFonts w:ascii="Book Antiqua" w:eastAsia="Times New Roman" w:hAnsi="Book Antiqua" w:cs="Book Antiqua"/>
          <w:sz w:val="24"/>
          <w:szCs w:val="24"/>
        </w:rPr>
        <w:t>Henri de Lubac</w:t>
      </w:r>
      <w:r>
        <w:rPr>
          <w:rFonts w:ascii="Book Antiqua" w:eastAsia="Times New Roman" w:hAnsi="Book Antiqua" w:cs="Book Antiqua"/>
          <w:sz w:val="24"/>
          <w:szCs w:val="24"/>
        </w:rPr>
        <w:t xml:space="preserve">, Karl Rahner and Bernard Lonergan, </w:t>
      </w:r>
      <w:r w:rsidR="002B26E4">
        <w:rPr>
          <w:rFonts w:ascii="Book Antiqua" w:eastAsia="Times New Roman" w:hAnsi="Book Antiqua" w:cs="Book Antiqua"/>
          <w:sz w:val="24"/>
          <w:szCs w:val="24"/>
        </w:rPr>
        <w:t xml:space="preserve">whose writing </w:t>
      </w:r>
      <w:r w:rsidR="0016466B">
        <w:rPr>
          <w:rFonts w:ascii="Book Antiqua" w:eastAsia="Times New Roman" w:hAnsi="Book Antiqua" w:cs="Book Antiqua"/>
          <w:sz w:val="24"/>
          <w:szCs w:val="24"/>
        </w:rPr>
        <w:t>were appealing</w:t>
      </w:r>
      <w:r w:rsidR="002B26E4">
        <w:rPr>
          <w:rFonts w:ascii="Book Antiqua" w:eastAsia="Times New Roman" w:hAnsi="Book Antiqua" w:cs="Book Antiqua"/>
          <w:sz w:val="24"/>
          <w:szCs w:val="24"/>
        </w:rPr>
        <w:t xml:space="preserve"> to</w:t>
      </w:r>
      <w:r w:rsidR="00E80EFA">
        <w:rPr>
          <w:rFonts w:ascii="Book Antiqua" w:eastAsia="Times New Roman" w:hAnsi="Book Antiqua" w:cs="Book Antiqua"/>
          <w:sz w:val="24"/>
          <w:szCs w:val="24"/>
        </w:rPr>
        <w:t xml:space="preserve"> </w:t>
      </w:r>
      <w:r w:rsidR="002B26E4">
        <w:rPr>
          <w:rFonts w:ascii="Book Antiqua" w:eastAsia="Times New Roman" w:hAnsi="Book Antiqua" w:cs="Book Antiqua"/>
          <w:sz w:val="24"/>
          <w:szCs w:val="24"/>
        </w:rPr>
        <w:t xml:space="preserve">Protestants as well as to Catholics.   More deeply, the ecumenical documents of Vatican II mirrored a growing relational and affective unity. </w:t>
      </w:r>
      <w:r w:rsidR="002B26E4" w:rsidRPr="002B26E4">
        <w:rPr>
          <w:rFonts w:ascii="Book Antiqua" w:eastAsia="Times New Roman" w:hAnsi="Book Antiqua" w:cs="Book Antiqua"/>
          <w:sz w:val="24"/>
          <w:szCs w:val="24"/>
        </w:rPr>
        <w:t xml:space="preserve"> </w:t>
      </w:r>
      <w:r w:rsidR="002B26E4">
        <w:rPr>
          <w:rFonts w:ascii="Book Antiqua" w:eastAsia="Times New Roman" w:hAnsi="Book Antiqua" w:cs="Book Antiqua"/>
          <w:sz w:val="24"/>
          <w:szCs w:val="24"/>
        </w:rPr>
        <w:t xml:space="preserve"> There were no Roman Catholic delegates at the Edinburgh conference in 1910; no structural c</w:t>
      </w:r>
      <w:r w:rsidR="009912EC">
        <w:rPr>
          <w:rFonts w:ascii="Book Antiqua" w:eastAsia="Times New Roman" w:hAnsi="Book Antiqua" w:cs="Book Antiqua"/>
          <w:sz w:val="24"/>
          <w:szCs w:val="24"/>
        </w:rPr>
        <w:t xml:space="preserve">onnection existed between the Roman Catholic Church and the World Council of Churches until 1965.  Yet grassroots initiatives of shared worship and service </w:t>
      </w:r>
      <w:r w:rsidR="004C2EF5">
        <w:rPr>
          <w:rFonts w:ascii="Book Antiqua" w:eastAsia="Times New Roman" w:hAnsi="Book Antiqua" w:cs="Book Antiqua"/>
          <w:sz w:val="24"/>
          <w:szCs w:val="24"/>
        </w:rPr>
        <w:t>did exist long</w:t>
      </w:r>
      <w:r w:rsidR="009912EC">
        <w:rPr>
          <w:rFonts w:ascii="Book Antiqua" w:eastAsia="Times New Roman" w:hAnsi="Book Antiqua" w:cs="Book Antiqua"/>
          <w:sz w:val="24"/>
          <w:szCs w:val="24"/>
        </w:rPr>
        <w:t xml:space="preserve"> before Vatican II.  </w:t>
      </w:r>
      <w:r w:rsidR="002B26E4">
        <w:rPr>
          <w:rFonts w:ascii="Book Antiqua" w:eastAsia="Times New Roman" w:hAnsi="Book Antiqua" w:cs="Book Antiqua"/>
          <w:sz w:val="24"/>
          <w:szCs w:val="24"/>
        </w:rPr>
        <w:t xml:space="preserve">The shared traumas of </w:t>
      </w:r>
      <w:r w:rsidR="009912EC">
        <w:rPr>
          <w:rFonts w:ascii="Book Antiqua" w:eastAsia="Times New Roman" w:hAnsi="Book Antiqua" w:cs="Book Antiqua"/>
          <w:sz w:val="24"/>
          <w:szCs w:val="24"/>
        </w:rPr>
        <w:t>two world wars</w:t>
      </w:r>
      <w:r w:rsidR="002B26E4">
        <w:rPr>
          <w:rFonts w:ascii="Book Antiqua" w:eastAsia="Times New Roman" w:hAnsi="Book Antiqua" w:cs="Book Antiqua"/>
          <w:sz w:val="24"/>
          <w:szCs w:val="24"/>
        </w:rPr>
        <w:t xml:space="preserve"> and the desire to establish more just societies in its wake gave impetus to</w:t>
      </w:r>
      <w:r w:rsidR="004C2EF5">
        <w:rPr>
          <w:rFonts w:ascii="Book Antiqua" w:eastAsia="Times New Roman" w:hAnsi="Book Antiqua" w:cs="Book Antiqua"/>
          <w:sz w:val="24"/>
          <w:szCs w:val="24"/>
        </w:rPr>
        <w:t xml:space="preserve"> these concrete initiatives, </w:t>
      </w:r>
      <w:r w:rsidR="00C27A5B">
        <w:rPr>
          <w:rFonts w:ascii="Book Antiqua" w:eastAsia="Times New Roman" w:hAnsi="Book Antiqua" w:cs="Book Antiqua"/>
          <w:sz w:val="24"/>
          <w:szCs w:val="24"/>
        </w:rPr>
        <w:t xml:space="preserve">often described under the heading of </w:t>
      </w:r>
      <w:r w:rsidR="006B2A02">
        <w:rPr>
          <w:rFonts w:ascii="Book Antiqua" w:eastAsia="Times New Roman" w:hAnsi="Book Antiqua" w:cs="Book Antiqua"/>
          <w:sz w:val="24"/>
          <w:szCs w:val="24"/>
        </w:rPr>
        <w:t xml:space="preserve">the Life and Work movement or </w:t>
      </w:r>
      <w:r w:rsidR="00C27A5B">
        <w:rPr>
          <w:rFonts w:ascii="Book Antiqua" w:eastAsia="Times New Roman" w:hAnsi="Book Antiqua" w:cs="Book Antiqua"/>
          <w:sz w:val="24"/>
          <w:szCs w:val="24"/>
        </w:rPr>
        <w:t>“the ecumenism of life</w:t>
      </w:r>
      <w:r w:rsidR="004C2EF5">
        <w:rPr>
          <w:rFonts w:ascii="Book Antiqua" w:eastAsia="Times New Roman" w:hAnsi="Book Antiqua" w:cs="Book Antiqua"/>
          <w:sz w:val="24"/>
          <w:szCs w:val="24"/>
        </w:rPr>
        <w:t>.</w:t>
      </w:r>
      <w:r w:rsidR="00C27A5B">
        <w:rPr>
          <w:rFonts w:ascii="Book Antiqua" w:eastAsia="Times New Roman" w:hAnsi="Book Antiqua" w:cs="Book Antiqua"/>
          <w:sz w:val="24"/>
          <w:szCs w:val="24"/>
        </w:rPr>
        <w:t>”</w:t>
      </w:r>
      <w:r w:rsidR="004C2EF5">
        <w:rPr>
          <w:rStyle w:val="FootnoteReference"/>
          <w:rFonts w:ascii="Book Antiqua" w:eastAsia="Times New Roman" w:hAnsi="Book Antiqua" w:cs="Book Antiqua"/>
          <w:sz w:val="24"/>
          <w:szCs w:val="24"/>
        </w:rPr>
        <w:footnoteReference w:id="10"/>
      </w:r>
      <w:r w:rsidR="002B26E4">
        <w:rPr>
          <w:rFonts w:ascii="Book Antiqua" w:eastAsia="Times New Roman" w:hAnsi="Book Antiqua" w:cs="Book Antiqua"/>
          <w:sz w:val="24"/>
          <w:szCs w:val="24"/>
        </w:rPr>
        <w:t xml:space="preserve">  </w:t>
      </w:r>
      <w:r w:rsidR="004C2EF5">
        <w:rPr>
          <w:rFonts w:ascii="Book Antiqua" w:eastAsia="Times New Roman" w:hAnsi="Book Antiqua" w:cs="Book Antiqua"/>
          <w:sz w:val="24"/>
          <w:szCs w:val="24"/>
        </w:rPr>
        <w:t xml:space="preserve">It stands to reason </w:t>
      </w:r>
      <w:r w:rsidR="009526E3">
        <w:rPr>
          <w:rFonts w:ascii="Book Antiqua" w:eastAsia="Times New Roman" w:hAnsi="Book Antiqua" w:cs="Book Antiqua"/>
          <w:sz w:val="24"/>
          <w:szCs w:val="24"/>
        </w:rPr>
        <w:t xml:space="preserve">that </w:t>
      </w:r>
      <w:r w:rsidR="004C2EF5">
        <w:rPr>
          <w:rFonts w:ascii="Book Antiqua" w:eastAsia="Times New Roman" w:hAnsi="Book Antiqua" w:cs="Book Antiqua"/>
          <w:sz w:val="24"/>
          <w:szCs w:val="24"/>
        </w:rPr>
        <w:t xml:space="preserve">Christians </w:t>
      </w:r>
      <w:r w:rsidR="009526E3">
        <w:rPr>
          <w:rFonts w:ascii="Book Antiqua" w:eastAsia="Times New Roman" w:hAnsi="Book Antiqua" w:cs="Book Antiqua"/>
          <w:sz w:val="24"/>
          <w:szCs w:val="24"/>
        </w:rPr>
        <w:t xml:space="preserve">who </w:t>
      </w:r>
      <w:r w:rsidR="004C2EF5">
        <w:rPr>
          <w:rFonts w:ascii="Book Antiqua" w:eastAsia="Times New Roman" w:hAnsi="Book Antiqua" w:cs="Book Antiqua"/>
          <w:sz w:val="24"/>
          <w:szCs w:val="24"/>
        </w:rPr>
        <w:t>worked together locally</w:t>
      </w:r>
      <w:r w:rsidR="009526E3">
        <w:rPr>
          <w:rFonts w:ascii="Book Antiqua" w:eastAsia="Times New Roman" w:hAnsi="Book Antiqua" w:cs="Book Antiqua"/>
          <w:sz w:val="24"/>
          <w:szCs w:val="24"/>
        </w:rPr>
        <w:t xml:space="preserve"> found it easier to identify</w:t>
      </w:r>
      <w:r w:rsidR="004C2EF5">
        <w:rPr>
          <w:rFonts w:ascii="Book Antiqua" w:eastAsia="Times New Roman" w:hAnsi="Book Antiqua" w:cs="Book Antiqua"/>
          <w:sz w:val="24"/>
          <w:szCs w:val="24"/>
        </w:rPr>
        <w:t xml:space="preserve"> one another as authentically Christian</w:t>
      </w:r>
      <w:r w:rsidR="00C8684C">
        <w:rPr>
          <w:rFonts w:ascii="Book Antiqua" w:eastAsia="Times New Roman" w:hAnsi="Book Antiqua" w:cs="Book Antiqua"/>
          <w:sz w:val="24"/>
          <w:szCs w:val="24"/>
        </w:rPr>
        <w:t>, as</w:t>
      </w:r>
      <w:r w:rsidR="003B6752">
        <w:rPr>
          <w:rFonts w:ascii="Book Antiqua" w:eastAsia="Times New Roman" w:hAnsi="Book Antiqua" w:cs="Book Antiqua"/>
          <w:sz w:val="24"/>
          <w:szCs w:val="24"/>
        </w:rPr>
        <w:t xml:space="preserve"> </w:t>
      </w:r>
      <w:r w:rsidR="004C2EF5">
        <w:rPr>
          <w:rFonts w:ascii="Book Antiqua" w:eastAsia="Times New Roman" w:hAnsi="Book Antiqua" w:cs="Book Antiqua"/>
          <w:sz w:val="24"/>
          <w:szCs w:val="24"/>
        </w:rPr>
        <w:t xml:space="preserve">dedicated to the same </w:t>
      </w:r>
      <w:r w:rsidR="009526E3">
        <w:rPr>
          <w:rFonts w:ascii="Book Antiqua" w:eastAsia="Times New Roman" w:hAnsi="Book Antiqua" w:cs="Book Antiqua"/>
          <w:sz w:val="24"/>
          <w:szCs w:val="24"/>
        </w:rPr>
        <w:t>Lord and</w:t>
      </w:r>
      <w:r w:rsidR="004C2EF5">
        <w:rPr>
          <w:rFonts w:ascii="Book Antiqua" w:eastAsia="Times New Roman" w:hAnsi="Book Antiqua" w:cs="Book Antiqua"/>
          <w:sz w:val="24"/>
          <w:szCs w:val="24"/>
        </w:rPr>
        <w:t xml:space="preserve"> animated by the same Spirit.    In other words, the Life and Work aspect of the modern ecumenical movement fueled the desire for vigorous engagement in doctrinal dialogue, which we call the Faith and Order approach.   This is the right background for understanding the upswing of interest in theological dialogue that is part of the Vatican II documents.    It also highlights </w:t>
      </w:r>
      <w:r w:rsidR="009526E3">
        <w:rPr>
          <w:rFonts w:ascii="Book Antiqua" w:eastAsia="Times New Roman" w:hAnsi="Book Antiqua" w:cs="Book Antiqua"/>
          <w:sz w:val="24"/>
          <w:szCs w:val="24"/>
        </w:rPr>
        <w:t>the reciprocal relationship that has always existed between local ecumenism and the international dialogue of experts: a relationship that needs to better understand and further developed.</w:t>
      </w:r>
    </w:p>
    <w:p w14:paraId="0BCA0E74" w14:textId="7358EE9D" w:rsidR="003B6752" w:rsidRDefault="004C2EF5" w:rsidP="004C2EF5">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After the death of John XXIII in 1963, P</w:t>
      </w:r>
      <w:r w:rsidRPr="009760FD">
        <w:rPr>
          <w:rFonts w:ascii="Book Antiqua" w:eastAsia="Times New Roman" w:hAnsi="Book Antiqua" w:cs="Book Antiqua"/>
          <w:sz w:val="24"/>
          <w:szCs w:val="24"/>
        </w:rPr>
        <w:t xml:space="preserve">ope Paul VI </w:t>
      </w:r>
      <w:r>
        <w:rPr>
          <w:rFonts w:ascii="Book Antiqua" w:eastAsia="Times New Roman" w:hAnsi="Book Antiqua" w:cs="Book Antiqua"/>
          <w:sz w:val="24"/>
          <w:szCs w:val="24"/>
        </w:rPr>
        <w:t xml:space="preserve">presided over the Second Vatican Council and continued his predecessor’s welcome to non-Catholic observers.  He urged the establishment of doctrinal dialogues between (on the one hand) the </w:t>
      </w:r>
      <w:r>
        <w:rPr>
          <w:rFonts w:ascii="Book Antiqua" w:eastAsia="Times New Roman" w:hAnsi="Book Antiqua" w:cs="Book Antiqua"/>
          <w:sz w:val="24"/>
          <w:szCs w:val="24"/>
        </w:rPr>
        <w:lastRenderedPageBreak/>
        <w:t xml:space="preserve">Roman Catholic Church and (on the other hand) each of the traditions who had sent their representatives to Vatican II.  Many of these “bilateral” dialogues were brand new, providing huge forward momentum to the already-existing Faith and Order approach.  Although Catholics did not join the World Council of Churches, a new permanent structural relationship, called the Joint Working Group, came into being between the Secretariat for Promoting Christian Unity and the WCC.  By the time the Council was over in 1965 there was intense and widespread optimism in many of the churches with respect to Christian unity:  a living hope that </w:t>
      </w:r>
      <w:r w:rsidRPr="00D27747">
        <w:rPr>
          <w:rFonts w:ascii="Book Antiqua" w:eastAsia="Times New Roman" w:hAnsi="Book Antiqua" w:cs="Book Antiqua"/>
          <w:sz w:val="24"/>
          <w:szCs w:val="24"/>
        </w:rPr>
        <w:t>“Christian unity might actually be achieved within a generation</w:t>
      </w:r>
      <w:r>
        <w:rPr>
          <w:rFonts w:ascii="Book Antiqua" w:eastAsia="Times New Roman" w:hAnsi="Book Antiqua" w:cs="Book Antiqua"/>
          <w:sz w:val="24"/>
          <w:szCs w:val="24"/>
        </w:rPr>
        <w:t>.</w:t>
      </w:r>
      <w:r w:rsidRPr="00D27747">
        <w:rPr>
          <w:rFonts w:ascii="Book Antiqua" w:eastAsia="Times New Roman" w:hAnsi="Book Antiqua" w:cs="Book Antiqua"/>
          <w:sz w:val="24"/>
          <w:szCs w:val="24"/>
        </w:rPr>
        <w:t>”</w:t>
      </w:r>
      <w:r>
        <w:rPr>
          <w:rStyle w:val="FootnoteReference"/>
          <w:rFonts w:ascii="Book Antiqua" w:eastAsia="Times New Roman" w:hAnsi="Book Antiqua" w:cs="Book Antiqua"/>
          <w:sz w:val="24"/>
          <w:szCs w:val="24"/>
        </w:rPr>
        <w:footnoteReference w:id="11"/>
      </w:r>
      <w:r w:rsidRPr="00D27747">
        <w:rPr>
          <w:rFonts w:ascii="Book Antiqua" w:eastAsia="Times New Roman" w:hAnsi="Book Antiqua" w:cs="Book Antiqua"/>
          <w:sz w:val="24"/>
          <w:szCs w:val="24"/>
        </w:rPr>
        <w:t xml:space="preserve"> </w:t>
      </w:r>
      <w:r w:rsidR="00EF053A">
        <w:rPr>
          <w:rFonts w:ascii="Book Antiqua" w:eastAsia="Times New Roman" w:hAnsi="Book Antiqua" w:cs="Book Antiqua"/>
          <w:sz w:val="24"/>
          <w:szCs w:val="24"/>
        </w:rPr>
        <w:t xml:space="preserve"> </w:t>
      </w:r>
      <w:r w:rsidR="003B6752">
        <w:rPr>
          <w:rFonts w:ascii="Book Antiqua" w:eastAsia="Times New Roman" w:hAnsi="Book Antiqua" w:cs="Book Antiqua"/>
          <w:sz w:val="24"/>
          <w:szCs w:val="24"/>
        </w:rPr>
        <w:t xml:space="preserve">Lay people were fully engaged in </w:t>
      </w:r>
      <w:r w:rsidR="00046807">
        <w:rPr>
          <w:rFonts w:ascii="Book Antiqua" w:eastAsia="Times New Roman" w:hAnsi="Book Antiqua" w:cs="Book Antiqua"/>
          <w:sz w:val="24"/>
          <w:szCs w:val="24"/>
        </w:rPr>
        <w:t>this hope</w:t>
      </w:r>
      <w:r w:rsidR="003B6752">
        <w:rPr>
          <w:rFonts w:ascii="Book Antiqua" w:eastAsia="Times New Roman" w:hAnsi="Book Antiqua" w:cs="Book Antiqua"/>
          <w:sz w:val="24"/>
          <w:szCs w:val="24"/>
        </w:rPr>
        <w:t xml:space="preserve">.  </w:t>
      </w:r>
      <w:r w:rsidR="00046807">
        <w:rPr>
          <w:rFonts w:ascii="Book Antiqua" w:eastAsia="Times New Roman" w:hAnsi="Book Antiqua" w:cs="Book Antiqua"/>
          <w:sz w:val="24"/>
          <w:szCs w:val="24"/>
        </w:rPr>
        <w:t>Significantly for our purposes</w:t>
      </w:r>
      <w:r w:rsidR="003B6752">
        <w:rPr>
          <w:rFonts w:ascii="Book Antiqua" w:eastAsia="Times New Roman" w:hAnsi="Book Antiqua" w:cs="Book Antiqua"/>
          <w:sz w:val="24"/>
          <w:szCs w:val="24"/>
        </w:rPr>
        <w:t>, 1965 saw the establishment of the</w:t>
      </w:r>
      <w:r w:rsidR="00046807">
        <w:rPr>
          <w:rFonts w:ascii="Book Antiqua" w:eastAsia="Times New Roman" w:hAnsi="Book Antiqua" w:cs="Book Antiqua"/>
          <w:sz w:val="24"/>
          <w:szCs w:val="24"/>
        </w:rPr>
        <w:t xml:space="preserve"> American</w:t>
      </w:r>
      <w:r w:rsidR="003B6752">
        <w:rPr>
          <w:rFonts w:ascii="Book Antiqua" w:eastAsia="Times New Roman" w:hAnsi="Book Antiqua" w:cs="Book Antiqua"/>
          <w:sz w:val="24"/>
          <w:szCs w:val="24"/>
        </w:rPr>
        <w:t xml:space="preserve"> “Living Room Dialogues”</w:t>
      </w:r>
      <w:r w:rsidR="00E92424">
        <w:rPr>
          <w:rFonts w:ascii="Book Antiqua" w:eastAsia="Times New Roman" w:hAnsi="Book Antiqua" w:cs="Book Antiqua"/>
          <w:sz w:val="24"/>
          <w:szCs w:val="24"/>
        </w:rPr>
        <w:t xml:space="preserve"> --- </w:t>
      </w:r>
      <w:r w:rsidR="00046807">
        <w:rPr>
          <w:rFonts w:ascii="Book Antiqua" w:eastAsia="Times New Roman" w:hAnsi="Book Antiqua" w:cs="Book Antiqua"/>
          <w:sz w:val="24"/>
          <w:szCs w:val="24"/>
        </w:rPr>
        <w:t>structured meetings of Protestant, Catholic and Orthodox adults who gathered in one another’s homes for Bible study, worship and theological dialogue.</w:t>
      </w:r>
      <w:r w:rsidR="00046807">
        <w:rPr>
          <w:rStyle w:val="FootnoteReference"/>
          <w:rFonts w:ascii="Book Antiqua" w:eastAsia="Times New Roman" w:hAnsi="Book Antiqua" w:cs="Book Antiqua"/>
          <w:sz w:val="24"/>
          <w:szCs w:val="24"/>
        </w:rPr>
        <w:footnoteReference w:id="12"/>
      </w:r>
      <w:r w:rsidR="00046807">
        <w:rPr>
          <w:rFonts w:ascii="Book Antiqua" w:eastAsia="Times New Roman" w:hAnsi="Book Antiqua" w:cs="Book Antiqua"/>
          <w:sz w:val="24"/>
          <w:szCs w:val="24"/>
        </w:rPr>
        <w:t xml:space="preserve">  Support materials for these meetings estimate that 5,000 such groups had come into being by 19</w:t>
      </w:r>
      <w:r w:rsidR="002C656D">
        <w:rPr>
          <w:rFonts w:ascii="Book Antiqua" w:eastAsia="Times New Roman" w:hAnsi="Book Antiqua" w:cs="Book Antiqua"/>
          <w:sz w:val="24"/>
          <w:szCs w:val="24"/>
        </w:rPr>
        <w:t>67</w:t>
      </w:r>
      <w:r w:rsidR="00046807">
        <w:rPr>
          <w:rFonts w:ascii="Book Antiqua" w:eastAsia="Times New Roman" w:hAnsi="Book Antiqua" w:cs="Book Antiqua"/>
          <w:sz w:val="24"/>
          <w:szCs w:val="24"/>
        </w:rPr>
        <w:t>.</w:t>
      </w:r>
      <w:r w:rsidR="00046807">
        <w:rPr>
          <w:rStyle w:val="FootnoteReference"/>
          <w:rFonts w:ascii="Book Antiqua" w:eastAsia="Times New Roman" w:hAnsi="Book Antiqua" w:cs="Book Antiqua"/>
          <w:sz w:val="24"/>
          <w:szCs w:val="24"/>
        </w:rPr>
        <w:footnoteReference w:id="13"/>
      </w:r>
    </w:p>
    <w:p w14:paraId="6BF2E1EA" w14:textId="4C49E10E" w:rsidR="00CA1085" w:rsidRDefault="00DE45B1" w:rsidP="00F92915">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 xml:space="preserve">If lay people helped create the </w:t>
      </w:r>
      <w:r w:rsidR="00F92915">
        <w:rPr>
          <w:rFonts w:ascii="Book Antiqua" w:eastAsia="Times New Roman" w:hAnsi="Book Antiqua" w:cs="Book Antiqua"/>
          <w:sz w:val="24"/>
          <w:szCs w:val="24"/>
        </w:rPr>
        <w:t>modern ecumenical movement</w:t>
      </w:r>
      <w:r>
        <w:rPr>
          <w:rFonts w:ascii="Book Antiqua" w:eastAsia="Times New Roman" w:hAnsi="Book Antiqua" w:cs="Book Antiqua"/>
          <w:sz w:val="24"/>
          <w:szCs w:val="24"/>
        </w:rPr>
        <w:t xml:space="preserve">, </w:t>
      </w:r>
      <w:r w:rsidR="00F92915">
        <w:rPr>
          <w:rFonts w:ascii="Book Antiqua" w:eastAsia="Times New Roman" w:hAnsi="Book Antiqua" w:cs="Book Antiqua"/>
          <w:sz w:val="24"/>
          <w:szCs w:val="24"/>
        </w:rPr>
        <w:t xml:space="preserve">then why have so few of them experienced any structured </w:t>
      </w:r>
      <w:r>
        <w:rPr>
          <w:rFonts w:ascii="Book Antiqua" w:eastAsia="Times New Roman" w:hAnsi="Book Antiqua" w:cs="Book Antiqua"/>
          <w:sz w:val="24"/>
          <w:szCs w:val="24"/>
        </w:rPr>
        <w:t>conversation with a Christian neighbor about differences in belief</w:t>
      </w:r>
      <w:r w:rsidR="00F92915">
        <w:rPr>
          <w:rFonts w:ascii="Book Antiqua" w:eastAsia="Times New Roman" w:hAnsi="Book Antiqua" w:cs="Book Antiqua"/>
          <w:sz w:val="24"/>
          <w:szCs w:val="24"/>
        </w:rPr>
        <w:t>?</w:t>
      </w:r>
      <w:r>
        <w:rPr>
          <w:rFonts w:ascii="Book Antiqua" w:eastAsia="Times New Roman" w:hAnsi="Book Antiqua" w:cs="Book Antiqua"/>
          <w:sz w:val="24"/>
          <w:szCs w:val="24"/>
        </w:rPr>
        <w:t xml:space="preserve">    Local ecumenism has tended overwhelmingly to </w:t>
      </w:r>
      <w:r w:rsidR="005B496A">
        <w:rPr>
          <w:rFonts w:ascii="Book Antiqua" w:eastAsia="Times New Roman" w:hAnsi="Book Antiqua" w:cs="Book Antiqua"/>
          <w:sz w:val="24"/>
          <w:szCs w:val="24"/>
        </w:rPr>
        <w:t>adopt</w:t>
      </w:r>
      <w:r>
        <w:rPr>
          <w:rFonts w:ascii="Book Antiqua" w:eastAsia="Times New Roman" w:hAnsi="Book Antiqua" w:cs="Book Antiqua"/>
          <w:sz w:val="24"/>
          <w:szCs w:val="24"/>
        </w:rPr>
        <w:t xml:space="preserve"> the Life and Work approach to ecumenism—the ecumenism of life—rather than </w:t>
      </w:r>
      <w:r w:rsidR="005B496A">
        <w:rPr>
          <w:rFonts w:ascii="Book Antiqua" w:eastAsia="Times New Roman" w:hAnsi="Book Antiqua" w:cs="Book Antiqua"/>
          <w:sz w:val="24"/>
          <w:szCs w:val="24"/>
        </w:rPr>
        <w:t>to wade into</w:t>
      </w:r>
      <w:r>
        <w:rPr>
          <w:rFonts w:ascii="Book Antiqua" w:eastAsia="Times New Roman" w:hAnsi="Book Antiqua" w:cs="Book Antiqua"/>
          <w:sz w:val="24"/>
          <w:szCs w:val="24"/>
        </w:rPr>
        <w:t xml:space="preserve"> the </w:t>
      </w:r>
      <w:r w:rsidR="005B496A">
        <w:rPr>
          <w:rFonts w:ascii="Book Antiqua" w:eastAsia="Times New Roman" w:hAnsi="Book Antiqua" w:cs="Book Antiqua"/>
          <w:sz w:val="24"/>
          <w:szCs w:val="24"/>
        </w:rPr>
        <w:t xml:space="preserve">doctrinal emphasis of the </w:t>
      </w:r>
      <w:r>
        <w:rPr>
          <w:rFonts w:ascii="Book Antiqua" w:eastAsia="Times New Roman" w:hAnsi="Book Antiqua" w:cs="Book Antiqua"/>
          <w:sz w:val="24"/>
          <w:szCs w:val="24"/>
        </w:rPr>
        <w:t>“ecumenism of truth.”</w:t>
      </w:r>
      <w:r w:rsidR="00C27A5B">
        <w:rPr>
          <w:rStyle w:val="FootnoteReference"/>
          <w:rFonts w:ascii="Book Antiqua" w:eastAsia="Times New Roman" w:hAnsi="Book Antiqua" w:cs="Book Antiqua"/>
          <w:sz w:val="24"/>
          <w:szCs w:val="24"/>
        </w:rPr>
        <w:footnoteReference w:id="14"/>
      </w:r>
      <w:r>
        <w:rPr>
          <w:rFonts w:ascii="Book Antiqua" w:eastAsia="Times New Roman" w:hAnsi="Book Antiqua" w:cs="Book Antiqua"/>
          <w:sz w:val="24"/>
          <w:szCs w:val="24"/>
        </w:rPr>
        <w:t xml:space="preserve">  Local or national Councils of Churches, shared ecumenical worship on special days, cooperation in local emergencies, shared initiatives for ameliorating poverty, </w:t>
      </w:r>
      <w:r w:rsidR="00096F55">
        <w:rPr>
          <w:rFonts w:ascii="Book Antiqua" w:eastAsia="Times New Roman" w:hAnsi="Book Antiqua" w:cs="Book Antiqua"/>
          <w:sz w:val="24"/>
          <w:szCs w:val="24"/>
        </w:rPr>
        <w:t xml:space="preserve">even two churches sharing a building and some of their fellowship—all of these are forms of local ecumenism.  </w:t>
      </w:r>
      <w:r w:rsidR="00FC155E">
        <w:rPr>
          <w:rFonts w:ascii="Book Antiqua" w:eastAsia="Times New Roman" w:hAnsi="Book Antiqua" w:cs="Book Antiqua"/>
          <w:sz w:val="24"/>
          <w:szCs w:val="24"/>
        </w:rPr>
        <w:t xml:space="preserve">Without them there would literally be no ecumenical movement.  They are essential for </w:t>
      </w:r>
      <w:r w:rsidR="00FC155E">
        <w:rPr>
          <w:rFonts w:ascii="Book Antiqua" w:eastAsia="Times New Roman" w:hAnsi="Book Antiqua" w:cs="Book Antiqua"/>
          <w:sz w:val="24"/>
          <w:szCs w:val="24"/>
        </w:rPr>
        <w:lastRenderedPageBreak/>
        <w:t xml:space="preserve">dispelling caricatures, building relationships, and stirring up the desire for dialogue.   </w:t>
      </w:r>
      <w:r w:rsidR="00096F55">
        <w:rPr>
          <w:rFonts w:ascii="Book Antiqua" w:eastAsia="Times New Roman" w:hAnsi="Book Antiqua" w:cs="Book Antiqua"/>
          <w:sz w:val="24"/>
          <w:szCs w:val="24"/>
        </w:rPr>
        <w:t xml:space="preserve">But few of them </w:t>
      </w:r>
      <w:r w:rsidR="0002401A">
        <w:rPr>
          <w:rFonts w:ascii="Book Antiqua" w:eastAsia="Times New Roman" w:hAnsi="Book Antiqua" w:cs="Book Antiqua"/>
          <w:sz w:val="24"/>
          <w:szCs w:val="24"/>
        </w:rPr>
        <w:t xml:space="preserve">have </w:t>
      </w:r>
      <w:r w:rsidR="00096F55">
        <w:rPr>
          <w:rFonts w:ascii="Book Antiqua" w:eastAsia="Times New Roman" w:hAnsi="Book Antiqua" w:cs="Book Antiqua"/>
          <w:sz w:val="24"/>
          <w:szCs w:val="24"/>
        </w:rPr>
        <w:t>place</w:t>
      </w:r>
      <w:r w:rsidR="005B496A">
        <w:rPr>
          <w:rFonts w:ascii="Book Antiqua" w:eastAsia="Times New Roman" w:hAnsi="Book Antiqua" w:cs="Book Antiqua"/>
          <w:sz w:val="24"/>
          <w:szCs w:val="24"/>
        </w:rPr>
        <w:t>d</w:t>
      </w:r>
      <w:r w:rsidR="00096F55">
        <w:rPr>
          <w:rFonts w:ascii="Book Antiqua" w:eastAsia="Times New Roman" w:hAnsi="Book Antiqua" w:cs="Book Antiqua"/>
          <w:sz w:val="24"/>
          <w:szCs w:val="24"/>
        </w:rPr>
        <w:t xml:space="preserve"> theological dialogue in the hands of lay people</w:t>
      </w:r>
      <w:r w:rsidR="0002401A">
        <w:rPr>
          <w:rFonts w:ascii="Book Antiqua" w:eastAsia="Times New Roman" w:hAnsi="Book Antiqua" w:cs="Book Antiqua"/>
          <w:sz w:val="24"/>
          <w:szCs w:val="24"/>
        </w:rPr>
        <w:t xml:space="preserve">.  There are at least two important exceptions to this statement: </w:t>
      </w:r>
      <w:proofErr w:type="gramStart"/>
      <w:r w:rsidR="005B496A">
        <w:rPr>
          <w:rFonts w:ascii="Book Antiqua" w:eastAsia="Times New Roman" w:hAnsi="Book Antiqua" w:cs="Book Antiqua"/>
          <w:sz w:val="24"/>
          <w:szCs w:val="24"/>
        </w:rPr>
        <w:t>the</w:t>
      </w:r>
      <w:proofErr w:type="gramEnd"/>
      <w:r w:rsidR="005B496A">
        <w:rPr>
          <w:rFonts w:ascii="Book Antiqua" w:eastAsia="Times New Roman" w:hAnsi="Book Antiqua" w:cs="Book Antiqua"/>
          <w:sz w:val="24"/>
          <w:szCs w:val="24"/>
        </w:rPr>
        <w:t xml:space="preserve"> Living Room Dialogues mentioned above</w:t>
      </w:r>
      <w:r w:rsidR="0002401A">
        <w:rPr>
          <w:rFonts w:ascii="Book Antiqua" w:eastAsia="Times New Roman" w:hAnsi="Book Antiqua" w:cs="Book Antiqua"/>
          <w:sz w:val="24"/>
          <w:szCs w:val="24"/>
        </w:rPr>
        <w:t xml:space="preserve">, and </w:t>
      </w:r>
      <w:r w:rsidR="005B496A">
        <w:rPr>
          <w:rFonts w:ascii="Book Antiqua" w:eastAsia="Times New Roman" w:hAnsi="Book Antiqua" w:cs="Book Antiqua"/>
          <w:sz w:val="24"/>
          <w:szCs w:val="24"/>
        </w:rPr>
        <w:t>a</w:t>
      </w:r>
      <w:r w:rsidR="0002401A">
        <w:rPr>
          <w:rFonts w:ascii="Book Antiqua" w:eastAsia="Times New Roman" w:hAnsi="Book Antiqua" w:cs="Book Antiqua"/>
          <w:sz w:val="24"/>
          <w:szCs w:val="24"/>
        </w:rPr>
        <w:t xml:space="preserve"> </w:t>
      </w:r>
      <w:r w:rsidR="005B496A">
        <w:rPr>
          <w:rFonts w:ascii="Book Antiqua" w:eastAsia="Times New Roman" w:hAnsi="Book Antiqua" w:cs="Book Antiqua"/>
          <w:sz w:val="24"/>
          <w:szCs w:val="24"/>
        </w:rPr>
        <w:t xml:space="preserve">prolonged </w:t>
      </w:r>
      <w:r w:rsidR="0002401A">
        <w:rPr>
          <w:rFonts w:ascii="Book Antiqua" w:eastAsia="Times New Roman" w:hAnsi="Book Antiqua" w:cs="Book Antiqua"/>
          <w:sz w:val="24"/>
          <w:szCs w:val="24"/>
        </w:rPr>
        <w:t xml:space="preserve">wave of </w:t>
      </w:r>
      <w:r w:rsidR="005B496A">
        <w:rPr>
          <w:rFonts w:ascii="Book Antiqua" w:eastAsia="Times New Roman" w:hAnsi="Book Antiqua" w:cs="Book Antiqua"/>
          <w:sz w:val="24"/>
          <w:szCs w:val="24"/>
        </w:rPr>
        <w:t>grassroots ecumenism</w:t>
      </w:r>
      <w:r w:rsidR="0002401A">
        <w:rPr>
          <w:rFonts w:ascii="Book Antiqua" w:eastAsia="Times New Roman" w:hAnsi="Book Antiqua" w:cs="Book Antiqua"/>
          <w:sz w:val="24"/>
          <w:szCs w:val="24"/>
        </w:rPr>
        <w:t xml:space="preserve"> in 1980’s England.  </w:t>
      </w:r>
      <w:r w:rsidR="00EF053A">
        <w:rPr>
          <w:rStyle w:val="FootnoteReference"/>
          <w:rFonts w:ascii="Book Antiqua" w:eastAsia="Times New Roman" w:hAnsi="Book Antiqua" w:cs="Book Antiqua"/>
          <w:sz w:val="24"/>
          <w:szCs w:val="24"/>
        </w:rPr>
        <w:footnoteReference w:id="15"/>
      </w:r>
      <w:r w:rsidR="006B2A02">
        <w:rPr>
          <w:rFonts w:ascii="Book Antiqua" w:eastAsia="Times New Roman" w:hAnsi="Book Antiqua" w:cs="Book Antiqua"/>
          <w:sz w:val="24"/>
          <w:szCs w:val="24"/>
        </w:rPr>
        <w:t xml:space="preserve"> </w:t>
      </w:r>
      <w:r w:rsidR="0002401A">
        <w:rPr>
          <w:rFonts w:ascii="Book Antiqua" w:eastAsia="Times New Roman" w:hAnsi="Book Antiqua" w:cs="Book Antiqua"/>
          <w:sz w:val="24"/>
          <w:szCs w:val="24"/>
        </w:rPr>
        <w:t xml:space="preserve">We will examine the strengths and weaknesses of these two lay dialogue experiments </w:t>
      </w:r>
      <w:r w:rsidR="00F92915">
        <w:rPr>
          <w:rFonts w:ascii="Book Antiqua" w:eastAsia="Times New Roman" w:hAnsi="Book Antiqua" w:cs="Book Antiqua"/>
          <w:sz w:val="24"/>
          <w:szCs w:val="24"/>
        </w:rPr>
        <w:t>in the next chapter</w:t>
      </w:r>
      <w:r w:rsidR="0002401A">
        <w:rPr>
          <w:rFonts w:ascii="Book Antiqua" w:eastAsia="Times New Roman" w:hAnsi="Book Antiqua" w:cs="Book Antiqua"/>
          <w:sz w:val="24"/>
          <w:szCs w:val="24"/>
        </w:rPr>
        <w:t xml:space="preserve">.  </w:t>
      </w:r>
      <w:r w:rsidR="00F82F0A">
        <w:rPr>
          <w:rFonts w:ascii="Book Antiqua" w:eastAsia="Times New Roman" w:hAnsi="Book Antiqua" w:cs="Book Antiqua"/>
          <w:sz w:val="24"/>
          <w:szCs w:val="24"/>
        </w:rPr>
        <w:t>Overall</w:t>
      </w:r>
      <w:r w:rsidR="0002401A">
        <w:rPr>
          <w:rFonts w:ascii="Book Antiqua" w:eastAsia="Times New Roman" w:hAnsi="Book Antiqua" w:cs="Book Antiqua"/>
          <w:sz w:val="24"/>
          <w:szCs w:val="24"/>
        </w:rPr>
        <w:t xml:space="preserve">, however, the distinction between “Life and Work” and “Faith and Order” ecumenism, for all its </w:t>
      </w:r>
      <w:r w:rsidR="00935A70">
        <w:rPr>
          <w:rFonts w:ascii="Book Antiqua" w:eastAsia="Times New Roman" w:hAnsi="Book Antiqua" w:cs="Book Antiqua"/>
          <w:sz w:val="24"/>
          <w:szCs w:val="24"/>
        </w:rPr>
        <w:t>accuracy and helpfulness</w:t>
      </w:r>
      <w:r w:rsidR="0002401A">
        <w:rPr>
          <w:rFonts w:ascii="Book Antiqua" w:eastAsia="Times New Roman" w:hAnsi="Book Antiqua" w:cs="Book Antiqua"/>
          <w:sz w:val="24"/>
          <w:szCs w:val="24"/>
        </w:rPr>
        <w:t xml:space="preserve">, has </w:t>
      </w:r>
      <w:r w:rsidR="00935A70">
        <w:rPr>
          <w:rFonts w:ascii="Book Antiqua" w:eastAsia="Times New Roman" w:hAnsi="Book Antiqua" w:cs="Book Antiqua"/>
          <w:sz w:val="24"/>
          <w:szCs w:val="24"/>
        </w:rPr>
        <w:t>served to cement</w:t>
      </w:r>
      <w:r w:rsidR="0002401A">
        <w:rPr>
          <w:rFonts w:ascii="Book Antiqua" w:eastAsia="Times New Roman" w:hAnsi="Book Antiqua" w:cs="Book Antiqua"/>
          <w:sz w:val="24"/>
          <w:szCs w:val="24"/>
        </w:rPr>
        <w:t xml:space="preserve"> the impression that practical efforts at Christian unity are suitable for lay people, but </w:t>
      </w:r>
      <w:r w:rsidR="0002401A" w:rsidRPr="00F92915">
        <w:rPr>
          <w:rFonts w:ascii="Book Antiqua" w:eastAsia="Times New Roman" w:hAnsi="Book Antiqua" w:cs="Book Antiqua"/>
          <w:i/>
          <w:sz w:val="24"/>
          <w:szCs w:val="24"/>
        </w:rPr>
        <w:t>dialogue is only for experts</w:t>
      </w:r>
      <w:r w:rsidR="0002401A">
        <w:rPr>
          <w:rFonts w:ascii="Book Antiqua" w:eastAsia="Times New Roman" w:hAnsi="Book Antiqua" w:cs="Book Antiqua"/>
          <w:sz w:val="24"/>
          <w:szCs w:val="24"/>
        </w:rPr>
        <w:t>.</w:t>
      </w:r>
      <w:r w:rsidR="00CA1085">
        <w:rPr>
          <w:rFonts w:ascii="Book Antiqua" w:eastAsia="Times New Roman" w:hAnsi="Book Antiqua" w:cs="Book Antiqua"/>
          <w:sz w:val="24"/>
          <w:szCs w:val="24"/>
        </w:rPr>
        <w:t xml:space="preserve">  As we will see, this impression lingers even in those traditions that identify a “priesthood of all believers” in other arenas of the church’s life.</w:t>
      </w:r>
    </w:p>
    <w:p w14:paraId="5C70A307" w14:textId="3F220155" w:rsidR="00F92915" w:rsidRPr="005E0240" w:rsidRDefault="00B955DF" w:rsidP="005E0240">
      <w:pPr>
        <w:pStyle w:val="Heading2"/>
        <w:rPr>
          <w:rFonts w:ascii="Book Antiqua" w:eastAsia="Times New Roman" w:hAnsi="Book Antiqua"/>
          <w:color w:val="auto"/>
          <w:sz w:val="28"/>
        </w:rPr>
      </w:pPr>
      <w:bookmarkStart w:id="6" w:name="_Toc523909726"/>
      <w:r w:rsidRPr="005E0240">
        <w:rPr>
          <w:rFonts w:ascii="Book Antiqua" w:eastAsia="Times New Roman" w:hAnsi="Book Antiqua"/>
          <w:color w:val="auto"/>
          <w:sz w:val="28"/>
        </w:rPr>
        <w:t xml:space="preserve">Who Are the Stewards of </w:t>
      </w:r>
      <w:r w:rsidR="00974AD0" w:rsidRPr="005E0240">
        <w:rPr>
          <w:rFonts w:ascii="Book Antiqua" w:eastAsia="Times New Roman" w:hAnsi="Book Antiqua"/>
          <w:color w:val="auto"/>
          <w:sz w:val="28"/>
        </w:rPr>
        <w:t>Doctrine</w:t>
      </w:r>
      <w:r w:rsidRPr="005E0240">
        <w:rPr>
          <w:rFonts w:ascii="Book Antiqua" w:eastAsia="Times New Roman" w:hAnsi="Book Antiqua"/>
          <w:color w:val="auto"/>
          <w:sz w:val="28"/>
        </w:rPr>
        <w:t>?</w:t>
      </w:r>
      <w:bookmarkEnd w:id="6"/>
    </w:p>
    <w:p w14:paraId="6EBAEA38" w14:textId="77777777" w:rsidR="00A15584" w:rsidRDefault="00A15584" w:rsidP="00DE725D">
      <w:pPr>
        <w:spacing w:line="360" w:lineRule="auto"/>
        <w:ind w:firstLine="720"/>
        <w:rPr>
          <w:rFonts w:ascii="Book Antiqua" w:eastAsia="Times New Roman" w:hAnsi="Book Antiqua" w:cs="Book Antiqua"/>
          <w:sz w:val="24"/>
          <w:szCs w:val="24"/>
        </w:rPr>
      </w:pPr>
    </w:p>
    <w:p w14:paraId="2AE5A249" w14:textId="088B3BFF" w:rsidR="00A15584" w:rsidRDefault="00A15584" w:rsidP="00DE725D">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I</w:t>
      </w:r>
      <w:r w:rsidR="00F92915">
        <w:rPr>
          <w:rFonts w:ascii="Book Antiqua" w:eastAsia="Times New Roman" w:hAnsi="Book Antiqua" w:cs="Book Antiqua"/>
          <w:sz w:val="24"/>
          <w:szCs w:val="24"/>
        </w:rPr>
        <w:t xml:space="preserve">f you are a </w:t>
      </w:r>
      <w:r w:rsidR="00553661">
        <w:rPr>
          <w:rFonts w:ascii="Book Antiqua" w:eastAsia="Times New Roman" w:hAnsi="Book Antiqua" w:cs="Book Antiqua"/>
          <w:sz w:val="24"/>
          <w:szCs w:val="24"/>
        </w:rPr>
        <w:t>non-clergy person</w:t>
      </w:r>
      <w:r w:rsidR="00F92915">
        <w:rPr>
          <w:rFonts w:ascii="Book Antiqua" w:eastAsia="Times New Roman" w:hAnsi="Book Antiqua" w:cs="Book Antiqua"/>
          <w:sz w:val="24"/>
          <w:szCs w:val="24"/>
        </w:rPr>
        <w:t xml:space="preserve"> reading this chapter, you might be assuming that </w:t>
      </w:r>
      <w:r>
        <w:rPr>
          <w:rFonts w:ascii="Book Antiqua" w:eastAsia="Times New Roman" w:hAnsi="Book Antiqua" w:cs="Book Antiqua"/>
          <w:sz w:val="24"/>
          <w:szCs w:val="24"/>
        </w:rPr>
        <w:t xml:space="preserve">putting </w:t>
      </w:r>
      <w:r w:rsidR="00B955DF">
        <w:rPr>
          <w:rFonts w:ascii="Book Antiqua" w:eastAsia="Times New Roman" w:hAnsi="Book Antiqua" w:cs="Book Antiqua"/>
          <w:sz w:val="24"/>
          <w:szCs w:val="24"/>
        </w:rPr>
        <w:t>theology</w:t>
      </w:r>
      <w:r>
        <w:rPr>
          <w:rFonts w:ascii="Book Antiqua" w:eastAsia="Times New Roman" w:hAnsi="Book Antiqua" w:cs="Book Antiqua"/>
          <w:sz w:val="24"/>
          <w:szCs w:val="24"/>
        </w:rPr>
        <w:t xml:space="preserve"> into the hands of lay people is a new and revolutionary idea.  In fact, it is a very old and well-established principle in many different types of Christian communities.  In this section I will </w:t>
      </w:r>
      <w:r w:rsidR="00B955DF">
        <w:rPr>
          <w:rFonts w:ascii="Book Antiqua" w:eastAsia="Times New Roman" w:hAnsi="Book Antiqua" w:cs="Book Antiqua"/>
          <w:sz w:val="24"/>
          <w:szCs w:val="24"/>
        </w:rPr>
        <w:t>present evidence</w:t>
      </w:r>
      <w:r>
        <w:rPr>
          <w:rFonts w:ascii="Book Antiqua" w:eastAsia="Times New Roman" w:hAnsi="Book Antiqua" w:cs="Book Antiqua"/>
          <w:sz w:val="24"/>
          <w:szCs w:val="24"/>
        </w:rPr>
        <w:t xml:space="preserve"> that Reformed (Calvinist) and Roman Catholic </w:t>
      </w:r>
      <w:r w:rsidR="003C0261">
        <w:rPr>
          <w:rFonts w:ascii="Book Antiqua" w:eastAsia="Times New Roman" w:hAnsi="Book Antiqua" w:cs="Book Antiqua"/>
          <w:sz w:val="24"/>
          <w:szCs w:val="24"/>
        </w:rPr>
        <w:t>theology</w:t>
      </w:r>
      <w:r>
        <w:rPr>
          <w:rFonts w:ascii="Book Antiqua" w:eastAsia="Times New Roman" w:hAnsi="Book Antiqua" w:cs="Book Antiqua"/>
          <w:sz w:val="24"/>
          <w:szCs w:val="24"/>
        </w:rPr>
        <w:t xml:space="preserve"> </w:t>
      </w:r>
      <w:r w:rsidR="003C0261" w:rsidRPr="003C0261">
        <w:rPr>
          <w:rFonts w:ascii="Book Antiqua" w:eastAsia="Times New Roman" w:hAnsi="Book Antiqua" w:cs="Book Antiqua"/>
          <w:b/>
          <w:i/>
          <w:sz w:val="24"/>
          <w:szCs w:val="24"/>
        </w:rPr>
        <w:t>both</w:t>
      </w:r>
      <w:r w:rsidR="003C0261">
        <w:rPr>
          <w:rFonts w:ascii="Book Antiqua" w:eastAsia="Times New Roman" w:hAnsi="Book Antiqua" w:cs="Book Antiqua"/>
          <w:sz w:val="24"/>
          <w:szCs w:val="24"/>
        </w:rPr>
        <w:t xml:space="preserve"> acknowledge an authoritative </w:t>
      </w:r>
      <w:r w:rsidR="00B955DF">
        <w:rPr>
          <w:rFonts w:ascii="Book Antiqua" w:eastAsia="Times New Roman" w:hAnsi="Book Antiqua" w:cs="Book Antiqua"/>
          <w:sz w:val="24"/>
          <w:szCs w:val="24"/>
        </w:rPr>
        <w:t>role</w:t>
      </w:r>
      <w:r w:rsidR="003C0261">
        <w:rPr>
          <w:rFonts w:ascii="Book Antiqua" w:eastAsia="Times New Roman" w:hAnsi="Book Antiqua" w:cs="Book Antiqua"/>
          <w:sz w:val="24"/>
          <w:szCs w:val="24"/>
        </w:rPr>
        <w:t xml:space="preserve"> for lay people</w:t>
      </w:r>
      <w:r w:rsidR="00B955DF">
        <w:rPr>
          <w:rFonts w:ascii="Book Antiqua" w:eastAsia="Times New Roman" w:hAnsi="Book Antiqua" w:cs="Book Antiqua"/>
          <w:sz w:val="24"/>
          <w:szCs w:val="24"/>
        </w:rPr>
        <w:t xml:space="preserve"> as</w:t>
      </w:r>
      <w:r>
        <w:rPr>
          <w:rFonts w:ascii="Book Antiqua" w:eastAsia="Times New Roman" w:hAnsi="Book Antiqua" w:cs="Book Antiqua"/>
          <w:sz w:val="24"/>
          <w:szCs w:val="24"/>
        </w:rPr>
        <w:t xml:space="preserve"> </w:t>
      </w:r>
      <w:r w:rsidR="00B955DF">
        <w:rPr>
          <w:rFonts w:ascii="Book Antiqua" w:eastAsia="Times New Roman" w:hAnsi="Book Antiqua" w:cs="Book Antiqua"/>
          <w:sz w:val="24"/>
          <w:szCs w:val="24"/>
        </w:rPr>
        <w:t>stewards</w:t>
      </w:r>
      <w:r w:rsidR="00C77932">
        <w:rPr>
          <w:rFonts w:ascii="Book Antiqua" w:eastAsia="Times New Roman" w:hAnsi="Book Antiqua" w:cs="Book Antiqua"/>
          <w:sz w:val="24"/>
          <w:szCs w:val="24"/>
        </w:rPr>
        <w:t xml:space="preserve"> (active managers)</w:t>
      </w:r>
      <w:r w:rsidR="00B955DF">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of </w:t>
      </w:r>
      <w:r w:rsidR="003C0261">
        <w:rPr>
          <w:rFonts w:ascii="Book Antiqua" w:eastAsia="Times New Roman" w:hAnsi="Book Antiqua" w:cs="Book Antiqua"/>
          <w:sz w:val="24"/>
          <w:szCs w:val="24"/>
        </w:rPr>
        <w:t>Christian doctrine</w:t>
      </w:r>
      <w:r w:rsidR="00B955DF">
        <w:rPr>
          <w:rFonts w:ascii="Book Antiqua" w:eastAsia="Times New Roman" w:hAnsi="Book Antiqua" w:cs="Book Antiqua"/>
          <w:sz w:val="24"/>
          <w:szCs w:val="24"/>
        </w:rPr>
        <w:t xml:space="preserve">.  Part of my strategy in making this argument is to raise the following questions:  If our traditions </w:t>
      </w:r>
      <w:r w:rsidR="005F2D83">
        <w:rPr>
          <w:rFonts w:ascii="Book Antiqua" w:eastAsia="Times New Roman" w:hAnsi="Book Antiqua" w:cs="Book Antiqua"/>
          <w:sz w:val="24"/>
          <w:szCs w:val="24"/>
        </w:rPr>
        <w:t xml:space="preserve">do </w:t>
      </w:r>
      <w:r w:rsidR="00B955DF">
        <w:rPr>
          <w:rFonts w:ascii="Book Antiqua" w:eastAsia="Times New Roman" w:hAnsi="Book Antiqua" w:cs="Book Antiqua"/>
          <w:sz w:val="24"/>
          <w:szCs w:val="24"/>
        </w:rPr>
        <w:t xml:space="preserve">affirm a role for lay people in exercising theological judgment, then why are </w:t>
      </w:r>
      <w:r w:rsidR="00DA2E32">
        <w:rPr>
          <w:rFonts w:ascii="Book Antiqua" w:eastAsia="Times New Roman" w:hAnsi="Book Antiqua" w:cs="Book Antiqua"/>
          <w:sz w:val="24"/>
          <w:szCs w:val="24"/>
        </w:rPr>
        <w:t>lay people not invited to</w:t>
      </w:r>
      <w:r w:rsidR="00B955DF">
        <w:rPr>
          <w:rFonts w:ascii="Book Antiqua" w:eastAsia="Times New Roman" w:hAnsi="Book Antiqua" w:cs="Book Antiqua"/>
          <w:sz w:val="24"/>
          <w:szCs w:val="24"/>
        </w:rPr>
        <w:t xml:space="preserve"> assist in the important work of </w:t>
      </w:r>
      <w:r w:rsidR="005F2D83">
        <w:rPr>
          <w:rFonts w:ascii="Book Antiqua" w:eastAsia="Times New Roman" w:hAnsi="Book Antiqua" w:cs="Book Antiqua"/>
          <w:sz w:val="24"/>
          <w:szCs w:val="24"/>
        </w:rPr>
        <w:t>moving toward</w:t>
      </w:r>
      <w:r w:rsidR="003C0261">
        <w:rPr>
          <w:rFonts w:ascii="Book Antiqua" w:eastAsia="Times New Roman" w:hAnsi="Book Antiqua" w:cs="Book Antiqua"/>
          <w:sz w:val="24"/>
          <w:szCs w:val="24"/>
        </w:rPr>
        <w:t xml:space="preserve"> </w:t>
      </w:r>
      <w:r w:rsidR="005F2D83">
        <w:rPr>
          <w:rFonts w:ascii="Book Antiqua" w:eastAsia="Times New Roman" w:hAnsi="Book Antiqua" w:cs="Book Antiqua"/>
          <w:sz w:val="24"/>
          <w:szCs w:val="24"/>
        </w:rPr>
        <w:t>theological</w:t>
      </w:r>
      <w:r w:rsidR="003C0261">
        <w:rPr>
          <w:rFonts w:ascii="Book Antiqua" w:eastAsia="Times New Roman" w:hAnsi="Book Antiqua" w:cs="Book Antiqua"/>
          <w:sz w:val="24"/>
          <w:szCs w:val="24"/>
        </w:rPr>
        <w:t xml:space="preserve"> agreement</w:t>
      </w:r>
      <w:r w:rsidR="00B955DF">
        <w:rPr>
          <w:rFonts w:ascii="Book Antiqua" w:eastAsia="Times New Roman" w:hAnsi="Book Antiqua" w:cs="Book Antiqua"/>
          <w:sz w:val="24"/>
          <w:szCs w:val="24"/>
        </w:rPr>
        <w:t xml:space="preserve">?  </w:t>
      </w:r>
      <w:r w:rsidR="00DA2E32">
        <w:rPr>
          <w:rFonts w:ascii="Book Antiqua" w:eastAsia="Times New Roman" w:hAnsi="Book Antiqua" w:cs="Book Antiqua"/>
          <w:sz w:val="24"/>
          <w:szCs w:val="24"/>
        </w:rPr>
        <w:t>Where then</w:t>
      </w:r>
      <w:r w:rsidR="00B955DF">
        <w:rPr>
          <w:rFonts w:ascii="Book Antiqua" w:eastAsia="Times New Roman" w:hAnsi="Book Antiqua" w:cs="Book Antiqua"/>
          <w:sz w:val="24"/>
          <w:szCs w:val="24"/>
        </w:rPr>
        <w:t xml:space="preserve"> is local ecumenical dialogue?</w:t>
      </w:r>
    </w:p>
    <w:p w14:paraId="7AB492C8" w14:textId="325AC165" w:rsidR="00C07C74" w:rsidRDefault="003C0261" w:rsidP="00DE725D">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It will be</w:t>
      </w:r>
      <w:r w:rsidR="00D21849">
        <w:rPr>
          <w:rFonts w:ascii="Book Antiqua" w:eastAsia="Times New Roman" w:hAnsi="Book Antiqua" w:cs="Book Antiqua"/>
          <w:sz w:val="24"/>
          <w:szCs w:val="24"/>
        </w:rPr>
        <w:t xml:space="preserve"> helpful to distinguish between two important terms: </w:t>
      </w:r>
      <w:r w:rsidR="00D21849" w:rsidRPr="00D21849">
        <w:rPr>
          <w:rFonts w:ascii="Book Antiqua" w:eastAsia="Times New Roman" w:hAnsi="Book Antiqua" w:cs="Book Antiqua"/>
          <w:i/>
          <w:sz w:val="24"/>
          <w:szCs w:val="24"/>
        </w:rPr>
        <w:t>theology</w:t>
      </w:r>
      <w:r w:rsidR="00D21849">
        <w:rPr>
          <w:rFonts w:ascii="Book Antiqua" w:eastAsia="Times New Roman" w:hAnsi="Book Antiqua" w:cs="Book Antiqua"/>
          <w:sz w:val="24"/>
          <w:szCs w:val="24"/>
        </w:rPr>
        <w:t xml:space="preserve"> and </w:t>
      </w:r>
      <w:r w:rsidR="00D21849" w:rsidRPr="00D21849">
        <w:rPr>
          <w:rFonts w:ascii="Book Antiqua" w:eastAsia="Times New Roman" w:hAnsi="Book Antiqua" w:cs="Book Antiqua"/>
          <w:i/>
          <w:sz w:val="24"/>
          <w:szCs w:val="24"/>
        </w:rPr>
        <w:t>doctrine</w:t>
      </w:r>
      <w:r w:rsidR="00D21849">
        <w:rPr>
          <w:rFonts w:ascii="Book Antiqua" w:eastAsia="Times New Roman" w:hAnsi="Book Antiqua" w:cs="Book Antiqua"/>
          <w:sz w:val="24"/>
          <w:szCs w:val="24"/>
        </w:rPr>
        <w:t>.  Theology is the broader term</w:t>
      </w:r>
      <w:r>
        <w:rPr>
          <w:rFonts w:ascii="Book Antiqua" w:eastAsia="Times New Roman" w:hAnsi="Book Antiqua" w:cs="Book Antiqua"/>
          <w:sz w:val="24"/>
          <w:szCs w:val="24"/>
        </w:rPr>
        <w:t xml:space="preserve"> of the two.  It</w:t>
      </w:r>
      <w:r w:rsidR="00186140">
        <w:rPr>
          <w:rFonts w:ascii="Book Antiqua" w:eastAsia="Times New Roman" w:hAnsi="Book Antiqua" w:cs="Book Antiqua"/>
          <w:sz w:val="24"/>
          <w:szCs w:val="24"/>
        </w:rPr>
        <w:t xml:space="preserve"> refers to </w:t>
      </w:r>
      <w:r>
        <w:rPr>
          <w:rFonts w:ascii="Book Antiqua" w:eastAsia="Times New Roman" w:hAnsi="Book Antiqua" w:cs="Book Antiqua"/>
          <w:sz w:val="24"/>
          <w:szCs w:val="24"/>
        </w:rPr>
        <w:t>an</w:t>
      </w:r>
      <w:r w:rsidR="00186140">
        <w:rPr>
          <w:rFonts w:ascii="Book Antiqua" w:eastAsia="Times New Roman" w:hAnsi="Book Antiqua" w:cs="Book Antiqua"/>
          <w:sz w:val="24"/>
          <w:szCs w:val="24"/>
        </w:rPr>
        <w:t xml:space="preserve"> intellectual discipline that </w:t>
      </w:r>
      <w:r>
        <w:rPr>
          <w:rFonts w:ascii="Book Antiqua" w:eastAsia="Times New Roman" w:hAnsi="Book Antiqua" w:cs="Book Antiqua"/>
          <w:sz w:val="24"/>
          <w:szCs w:val="24"/>
        </w:rPr>
        <w:t>clarifies</w:t>
      </w:r>
      <w:r w:rsidR="00186140">
        <w:rPr>
          <w:rFonts w:ascii="Book Antiqua" w:eastAsia="Times New Roman" w:hAnsi="Book Antiqua" w:cs="Book Antiqua"/>
          <w:sz w:val="24"/>
          <w:szCs w:val="24"/>
        </w:rPr>
        <w:t xml:space="preserve"> the</w:t>
      </w:r>
      <w:r>
        <w:rPr>
          <w:rFonts w:ascii="Book Antiqua" w:eastAsia="Times New Roman" w:hAnsi="Book Antiqua" w:cs="Book Antiqua"/>
          <w:sz w:val="24"/>
          <w:szCs w:val="24"/>
        </w:rPr>
        <w:t xml:space="preserve"> meaning of the Christian</w:t>
      </w:r>
      <w:r w:rsidR="00186140">
        <w:rPr>
          <w:rFonts w:ascii="Book Antiqua" w:eastAsia="Times New Roman" w:hAnsi="Book Antiqua" w:cs="Book Antiqua"/>
          <w:sz w:val="24"/>
          <w:szCs w:val="24"/>
        </w:rPr>
        <w:t xml:space="preserve"> claim “Jesus is Lord” and all its implications: biblical, logical, institutional, personal and social.   Some would add a further </w:t>
      </w:r>
      <w:r w:rsidR="00186140">
        <w:rPr>
          <w:rFonts w:ascii="Book Antiqua" w:eastAsia="Times New Roman" w:hAnsi="Book Antiqua" w:cs="Book Antiqua"/>
          <w:sz w:val="24"/>
          <w:szCs w:val="24"/>
        </w:rPr>
        <w:lastRenderedPageBreak/>
        <w:t xml:space="preserve">distinction between practical and theoretical theology, in which practical theology refers to the application of theoretical theology in the institutional, personal and social realms.   In any case, doctrine is a bit different.  Doctrines are </w:t>
      </w:r>
      <w:r w:rsidR="00974AD0">
        <w:rPr>
          <w:rFonts w:ascii="Book Antiqua" w:eastAsia="Times New Roman" w:hAnsi="Book Antiqua" w:cs="Book Antiqua"/>
          <w:sz w:val="24"/>
          <w:szCs w:val="24"/>
        </w:rPr>
        <w:t xml:space="preserve">the </w:t>
      </w:r>
      <w:r w:rsidR="00186140">
        <w:rPr>
          <w:rFonts w:ascii="Book Antiqua" w:eastAsia="Times New Roman" w:hAnsi="Book Antiqua" w:cs="Book Antiqua"/>
          <w:sz w:val="24"/>
          <w:szCs w:val="24"/>
        </w:rPr>
        <w:t>particular teachings of particular churches.   Although they rely on biblical and theological content, doctrines involve the further step of taking a stand on that content</w:t>
      </w:r>
      <w:r>
        <w:rPr>
          <w:rFonts w:ascii="Book Antiqua" w:eastAsia="Times New Roman" w:hAnsi="Book Antiqua" w:cs="Book Antiqua"/>
          <w:sz w:val="24"/>
          <w:szCs w:val="24"/>
        </w:rPr>
        <w:t xml:space="preserve">.  They are </w:t>
      </w:r>
      <w:r w:rsidR="00553661" w:rsidRPr="00553661">
        <w:rPr>
          <w:rFonts w:ascii="Book Antiqua" w:eastAsia="Times New Roman" w:hAnsi="Book Antiqua" w:cs="Book Antiqua"/>
          <w:i/>
          <w:sz w:val="24"/>
          <w:szCs w:val="24"/>
        </w:rPr>
        <w:t xml:space="preserve">theological </w:t>
      </w:r>
      <w:r w:rsidR="00186140" w:rsidRPr="00553661">
        <w:rPr>
          <w:rFonts w:ascii="Book Antiqua" w:eastAsia="Times New Roman" w:hAnsi="Book Antiqua" w:cs="Book Antiqua"/>
          <w:i/>
          <w:sz w:val="24"/>
          <w:szCs w:val="24"/>
        </w:rPr>
        <w:t>judgment</w:t>
      </w:r>
      <w:r w:rsidRPr="00553661">
        <w:rPr>
          <w:rFonts w:ascii="Book Antiqua" w:eastAsia="Times New Roman" w:hAnsi="Book Antiqua" w:cs="Book Antiqua"/>
          <w:i/>
          <w:sz w:val="24"/>
          <w:szCs w:val="24"/>
        </w:rPr>
        <w:t>s</w:t>
      </w:r>
      <w:r w:rsidR="00186140" w:rsidRPr="00553661">
        <w:rPr>
          <w:rFonts w:ascii="Book Antiqua" w:eastAsia="Times New Roman" w:hAnsi="Book Antiqua" w:cs="Book Antiqua"/>
          <w:i/>
          <w:sz w:val="24"/>
          <w:szCs w:val="24"/>
        </w:rPr>
        <w:t xml:space="preserve"> of </w:t>
      </w:r>
      <w:r w:rsidRPr="00553661">
        <w:rPr>
          <w:rFonts w:ascii="Book Antiqua" w:eastAsia="Times New Roman" w:hAnsi="Book Antiqua" w:cs="Book Antiqua"/>
          <w:i/>
          <w:sz w:val="24"/>
          <w:szCs w:val="24"/>
        </w:rPr>
        <w:t>fact and value</w:t>
      </w:r>
      <w:r>
        <w:rPr>
          <w:rFonts w:ascii="Book Antiqua" w:eastAsia="Times New Roman" w:hAnsi="Book Antiqua" w:cs="Book Antiqua"/>
          <w:sz w:val="24"/>
          <w:szCs w:val="24"/>
        </w:rPr>
        <w:t>, expressing what the churches believe to be true</w:t>
      </w:r>
      <w:r w:rsidR="00553661">
        <w:rPr>
          <w:rFonts w:ascii="Book Antiqua" w:eastAsia="Times New Roman" w:hAnsi="Book Antiqua" w:cs="Book Antiqua"/>
          <w:sz w:val="24"/>
          <w:szCs w:val="24"/>
        </w:rPr>
        <w:t xml:space="preserve"> and</w:t>
      </w:r>
      <w:r>
        <w:rPr>
          <w:rFonts w:ascii="Book Antiqua" w:eastAsia="Times New Roman" w:hAnsi="Book Antiqua" w:cs="Book Antiqua"/>
          <w:sz w:val="24"/>
          <w:szCs w:val="24"/>
        </w:rPr>
        <w:t xml:space="preserve"> good.  </w:t>
      </w:r>
      <w:r w:rsidR="00186140">
        <w:rPr>
          <w:rFonts w:ascii="Book Antiqua" w:eastAsia="Times New Roman" w:hAnsi="Book Antiqua" w:cs="Book Antiqua"/>
          <w:sz w:val="24"/>
          <w:szCs w:val="24"/>
        </w:rPr>
        <w:t xml:space="preserve"> </w:t>
      </w:r>
      <w:r>
        <w:rPr>
          <w:rFonts w:ascii="Book Antiqua" w:eastAsia="Times New Roman" w:hAnsi="Book Antiqua" w:cs="Book Antiqua"/>
          <w:sz w:val="24"/>
          <w:szCs w:val="24"/>
        </w:rPr>
        <w:t>I provide the following example to help distinguish</w:t>
      </w:r>
      <w:r w:rsidR="00C07C74">
        <w:rPr>
          <w:rFonts w:ascii="Book Antiqua" w:eastAsia="Times New Roman" w:hAnsi="Book Antiqua" w:cs="Book Antiqua"/>
          <w:sz w:val="24"/>
          <w:szCs w:val="24"/>
        </w:rPr>
        <w:t xml:space="preserve"> between theology and doctrine.  In the later 4</w:t>
      </w:r>
      <w:r w:rsidR="00C07C74" w:rsidRPr="00C07C74">
        <w:rPr>
          <w:rFonts w:ascii="Book Antiqua" w:eastAsia="Times New Roman" w:hAnsi="Book Antiqua" w:cs="Book Antiqua"/>
          <w:sz w:val="24"/>
          <w:szCs w:val="24"/>
          <w:vertAlign w:val="superscript"/>
        </w:rPr>
        <w:t>th</w:t>
      </w:r>
      <w:r w:rsidR="00C07C74">
        <w:rPr>
          <w:rFonts w:ascii="Book Antiqua" w:eastAsia="Times New Roman" w:hAnsi="Book Antiqua" w:cs="Book Antiqua"/>
          <w:sz w:val="24"/>
          <w:szCs w:val="24"/>
        </w:rPr>
        <w:t xml:space="preserve"> and early 5</w:t>
      </w:r>
      <w:r w:rsidR="00C07C74" w:rsidRPr="00C07C74">
        <w:rPr>
          <w:rFonts w:ascii="Book Antiqua" w:eastAsia="Times New Roman" w:hAnsi="Book Antiqua" w:cs="Book Antiqua"/>
          <w:sz w:val="24"/>
          <w:szCs w:val="24"/>
          <w:vertAlign w:val="superscript"/>
        </w:rPr>
        <w:t>th</w:t>
      </w:r>
      <w:r w:rsidR="00C07C74">
        <w:rPr>
          <w:rFonts w:ascii="Book Antiqua" w:eastAsia="Times New Roman" w:hAnsi="Book Antiqua" w:cs="Book Antiqua"/>
          <w:sz w:val="24"/>
          <w:szCs w:val="24"/>
        </w:rPr>
        <w:t xml:space="preserve"> century, a group of Greek theologians called the</w:t>
      </w:r>
      <w:r w:rsidR="00186140">
        <w:rPr>
          <w:rFonts w:ascii="Book Antiqua" w:eastAsia="Times New Roman" w:hAnsi="Book Antiqua" w:cs="Book Antiqua"/>
          <w:sz w:val="24"/>
          <w:szCs w:val="24"/>
        </w:rPr>
        <w:t xml:space="preserve"> </w:t>
      </w:r>
      <w:r w:rsidR="00C07C74">
        <w:rPr>
          <w:rFonts w:ascii="Book Antiqua" w:eastAsia="Times New Roman" w:hAnsi="Book Antiqua" w:cs="Book Antiqua"/>
          <w:sz w:val="24"/>
          <w:szCs w:val="24"/>
        </w:rPr>
        <w:t>Cappadocians</w:t>
      </w:r>
      <w:r w:rsidR="00974AD0">
        <w:rPr>
          <w:rFonts w:ascii="Book Antiqua" w:eastAsia="Times New Roman" w:hAnsi="Book Antiqua" w:cs="Book Antiqua"/>
          <w:sz w:val="24"/>
          <w:szCs w:val="24"/>
        </w:rPr>
        <w:t xml:space="preserve"> explored</w:t>
      </w:r>
      <w:r w:rsidR="00C07C74">
        <w:rPr>
          <w:rFonts w:ascii="Book Antiqua" w:eastAsia="Times New Roman" w:hAnsi="Book Antiqua" w:cs="Book Antiqua"/>
          <w:sz w:val="24"/>
          <w:szCs w:val="24"/>
        </w:rPr>
        <w:t xml:space="preserve"> the meaning of God as One and Three in a particularly rich and evocative way.  This</w:t>
      </w:r>
      <w:r w:rsidR="00974AD0">
        <w:rPr>
          <w:rFonts w:ascii="Book Antiqua" w:eastAsia="Times New Roman" w:hAnsi="Book Antiqua" w:cs="Book Antiqua"/>
          <w:sz w:val="24"/>
          <w:szCs w:val="24"/>
        </w:rPr>
        <w:t xml:space="preserve"> trinitarian</w:t>
      </w:r>
      <w:r w:rsidR="00C07C74">
        <w:rPr>
          <w:rFonts w:ascii="Book Antiqua" w:eastAsia="Times New Roman" w:hAnsi="Book Antiqua" w:cs="Book Antiqua"/>
          <w:sz w:val="24"/>
          <w:szCs w:val="24"/>
        </w:rPr>
        <w:t xml:space="preserve"> </w:t>
      </w:r>
      <w:r w:rsidR="00C07C74" w:rsidRPr="003C0261">
        <w:rPr>
          <w:rFonts w:ascii="Book Antiqua" w:eastAsia="Times New Roman" w:hAnsi="Book Antiqua" w:cs="Book Antiqua"/>
          <w:b/>
          <w:i/>
          <w:sz w:val="24"/>
          <w:szCs w:val="24"/>
        </w:rPr>
        <w:t>theology</w:t>
      </w:r>
      <w:r w:rsidR="00C07C74">
        <w:rPr>
          <w:rFonts w:ascii="Book Antiqua" w:eastAsia="Times New Roman" w:hAnsi="Book Antiqua" w:cs="Book Antiqua"/>
          <w:sz w:val="24"/>
          <w:szCs w:val="24"/>
        </w:rPr>
        <w:t xml:space="preserve"> set the stage for the </w:t>
      </w:r>
      <w:r w:rsidR="00C07C74" w:rsidRPr="00C90C14">
        <w:rPr>
          <w:rFonts w:ascii="Book Antiqua" w:eastAsia="Times New Roman" w:hAnsi="Book Antiqua" w:cs="Book Antiqua"/>
          <w:b/>
          <w:i/>
          <w:sz w:val="24"/>
          <w:szCs w:val="24"/>
        </w:rPr>
        <w:t>doctrine</w:t>
      </w:r>
      <w:r w:rsidR="00C07C74">
        <w:rPr>
          <w:rFonts w:ascii="Book Antiqua" w:eastAsia="Times New Roman" w:hAnsi="Book Antiqua" w:cs="Book Antiqua"/>
          <w:sz w:val="24"/>
          <w:szCs w:val="24"/>
        </w:rPr>
        <w:t xml:space="preserve"> of the Trinity, encapsulated in the Niceno-Constantinopolitan Creed (381).  That doctrine</w:t>
      </w:r>
      <w:r w:rsidR="00974AD0">
        <w:rPr>
          <w:rFonts w:ascii="Book Antiqua" w:eastAsia="Times New Roman" w:hAnsi="Book Antiqua" w:cs="Book Antiqua"/>
          <w:sz w:val="24"/>
          <w:szCs w:val="24"/>
        </w:rPr>
        <w:t xml:space="preserve"> represents a judgment </w:t>
      </w:r>
      <w:r w:rsidR="00C07C74">
        <w:rPr>
          <w:rFonts w:ascii="Book Antiqua" w:eastAsia="Times New Roman" w:hAnsi="Book Antiqua" w:cs="Book Antiqua"/>
          <w:sz w:val="24"/>
          <w:szCs w:val="24"/>
        </w:rPr>
        <w:t xml:space="preserve">that God </w:t>
      </w:r>
      <w:r w:rsidR="00974AD0">
        <w:rPr>
          <w:rFonts w:ascii="Book Antiqua" w:eastAsia="Times New Roman" w:hAnsi="Book Antiqua" w:cs="Book Antiqua"/>
          <w:sz w:val="24"/>
          <w:szCs w:val="24"/>
        </w:rPr>
        <w:t>IS</w:t>
      </w:r>
      <w:r w:rsidR="00522D9E">
        <w:rPr>
          <w:rFonts w:ascii="Book Antiqua" w:eastAsia="Times New Roman" w:hAnsi="Book Antiqua" w:cs="Book Antiqua"/>
          <w:sz w:val="24"/>
          <w:szCs w:val="24"/>
        </w:rPr>
        <w:t xml:space="preserve"> </w:t>
      </w:r>
      <w:r w:rsidR="00C90C14">
        <w:rPr>
          <w:rFonts w:ascii="Book Antiqua" w:eastAsia="Times New Roman" w:hAnsi="Book Antiqua" w:cs="Book Antiqua"/>
          <w:sz w:val="24"/>
          <w:szCs w:val="24"/>
        </w:rPr>
        <w:t xml:space="preserve">truly </w:t>
      </w:r>
      <w:r w:rsidR="00522D9E">
        <w:rPr>
          <w:rFonts w:ascii="Book Antiqua" w:eastAsia="Times New Roman" w:hAnsi="Book Antiqua" w:cs="Book Antiqua"/>
          <w:sz w:val="24"/>
          <w:szCs w:val="24"/>
        </w:rPr>
        <w:t>revealed as</w:t>
      </w:r>
      <w:r w:rsidR="00C07C74">
        <w:rPr>
          <w:rFonts w:ascii="Book Antiqua" w:eastAsia="Times New Roman" w:hAnsi="Book Antiqua" w:cs="Book Antiqua"/>
          <w:sz w:val="24"/>
          <w:szCs w:val="24"/>
        </w:rPr>
        <w:t xml:space="preserve"> </w:t>
      </w:r>
      <w:r w:rsidR="00522D9E">
        <w:rPr>
          <w:rFonts w:ascii="Book Antiqua" w:eastAsia="Times New Roman" w:hAnsi="Book Antiqua" w:cs="Book Antiqua"/>
          <w:sz w:val="24"/>
          <w:szCs w:val="24"/>
        </w:rPr>
        <w:t>O</w:t>
      </w:r>
      <w:r w:rsidR="00C07C74">
        <w:rPr>
          <w:rFonts w:ascii="Book Antiqua" w:eastAsia="Times New Roman" w:hAnsi="Book Antiqua" w:cs="Book Antiqua"/>
          <w:sz w:val="24"/>
          <w:szCs w:val="24"/>
        </w:rPr>
        <w:t>ne with respect to the divine substance, and</w:t>
      </w:r>
      <w:r w:rsidR="00522D9E">
        <w:rPr>
          <w:rFonts w:ascii="Book Antiqua" w:eastAsia="Times New Roman" w:hAnsi="Book Antiqua" w:cs="Book Antiqua"/>
          <w:sz w:val="24"/>
          <w:szCs w:val="24"/>
        </w:rPr>
        <w:t xml:space="preserve"> as T</w:t>
      </w:r>
      <w:r w:rsidR="00C07C74">
        <w:rPr>
          <w:rFonts w:ascii="Book Antiqua" w:eastAsia="Times New Roman" w:hAnsi="Book Antiqua" w:cs="Book Antiqua"/>
          <w:sz w:val="24"/>
          <w:szCs w:val="24"/>
        </w:rPr>
        <w:t xml:space="preserve">hree in respect to persons; to sacrifice either one or the other is to be naming some other god than the God we know in Scripture.   </w:t>
      </w:r>
      <w:r w:rsidR="00974AD0">
        <w:rPr>
          <w:rFonts w:ascii="Book Antiqua" w:eastAsia="Times New Roman" w:hAnsi="Book Antiqua" w:cs="Book Antiqua"/>
          <w:sz w:val="24"/>
          <w:szCs w:val="24"/>
        </w:rPr>
        <w:t>D</w:t>
      </w:r>
      <w:r w:rsidR="00C07C74">
        <w:rPr>
          <w:rFonts w:ascii="Book Antiqua" w:eastAsia="Times New Roman" w:hAnsi="Book Antiqua" w:cs="Book Antiqua"/>
          <w:sz w:val="24"/>
          <w:szCs w:val="24"/>
        </w:rPr>
        <w:t xml:space="preserve">octrine is the church </w:t>
      </w:r>
      <w:r w:rsidR="00974AD0">
        <w:rPr>
          <w:rFonts w:ascii="Book Antiqua" w:eastAsia="Times New Roman" w:hAnsi="Book Antiqua" w:cs="Book Antiqua"/>
          <w:sz w:val="24"/>
          <w:szCs w:val="24"/>
        </w:rPr>
        <w:t xml:space="preserve">making </w:t>
      </w:r>
      <w:r w:rsidR="00C90C14">
        <w:rPr>
          <w:rFonts w:ascii="Book Antiqua" w:eastAsia="Times New Roman" w:hAnsi="Book Antiqua" w:cs="Book Antiqua"/>
          <w:sz w:val="24"/>
          <w:szCs w:val="24"/>
        </w:rPr>
        <w:t>theological judgments which in turn means</w:t>
      </w:r>
      <w:r w:rsidR="00974AD0">
        <w:rPr>
          <w:rFonts w:ascii="Book Antiqua" w:eastAsia="Times New Roman" w:hAnsi="Book Antiqua" w:cs="Book Antiqua"/>
          <w:sz w:val="24"/>
          <w:szCs w:val="24"/>
        </w:rPr>
        <w:t xml:space="preserve"> taking a “yes” or “no” stand on </w:t>
      </w:r>
      <w:r w:rsidR="00C90C14">
        <w:rPr>
          <w:rFonts w:ascii="Book Antiqua" w:eastAsia="Times New Roman" w:hAnsi="Book Antiqua" w:cs="Book Antiqua"/>
          <w:sz w:val="24"/>
          <w:szCs w:val="24"/>
        </w:rPr>
        <w:t>possible understandings of the faith.</w:t>
      </w:r>
    </w:p>
    <w:p w14:paraId="50BCAD2C" w14:textId="1A7A5FC0" w:rsidR="00974AD0" w:rsidRPr="00974AD0" w:rsidRDefault="00C07C74" w:rsidP="00DE725D">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 xml:space="preserve">The doctrine of the Trinity is </w:t>
      </w:r>
      <w:r w:rsidR="00553661">
        <w:rPr>
          <w:rFonts w:ascii="Book Antiqua" w:eastAsia="Times New Roman" w:hAnsi="Book Antiqua" w:cs="Book Antiqua"/>
          <w:sz w:val="24"/>
          <w:szCs w:val="24"/>
        </w:rPr>
        <w:t>rarely</w:t>
      </w:r>
      <w:r>
        <w:rPr>
          <w:rFonts w:ascii="Book Antiqua" w:eastAsia="Times New Roman" w:hAnsi="Book Antiqua" w:cs="Book Antiqua"/>
          <w:sz w:val="24"/>
          <w:szCs w:val="24"/>
        </w:rPr>
        <w:t xml:space="preserve"> a source of division between Reformed and Roman Catholic Christians</w:t>
      </w:r>
      <w:r w:rsidR="00974AD0">
        <w:rPr>
          <w:rFonts w:ascii="Book Antiqua" w:eastAsia="Times New Roman" w:hAnsi="Book Antiqua" w:cs="Book Antiqua"/>
          <w:sz w:val="24"/>
          <w:szCs w:val="24"/>
        </w:rPr>
        <w:t>.  Catholics and Calvinists are equally</w:t>
      </w:r>
      <w:r>
        <w:rPr>
          <w:rFonts w:ascii="Book Antiqua" w:eastAsia="Times New Roman" w:hAnsi="Book Antiqua" w:cs="Book Antiqua"/>
          <w:sz w:val="24"/>
          <w:szCs w:val="24"/>
        </w:rPr>
        <w:t xml:space="preserve"> trinitarian.  But </w:t>
      </w:r>
      <w:r w:rsidR="00974AD0">
        <w:rPr>
          <w:rFonts w:ascii="Book Antiqua" w:eastAsia="Times New Roman" w:hAnsi="Book Antiqua" w:cs="Book Antiqua"/>
          <w:sz w:val="24"/>
          <w:szCs w:val="24"/>
        </w:rPr>
        <w:t xml:space="preserve">many, many </w:t>
      </w:r>
      <w:r>
        <w:rPr>
          <w:rFonts w:ascii="Book Antiqua" w:eastAsia="Times New Roman" w:hAnsi="Book Antiqua" w:cs="Book Antiqua"/>
          <w:sz w:val="24"/>
          <w:szCs w:val="24"/>
        </w:rPr>
        <w:t xml:space="preserve">other </w:t>
      </w:r>
      <w:r w:rsidR="00974AD0">
        <w:rPr>
          <w:rFonts w:ascii="Book Antiqua" w:eastAsia="Times New Roman" w:hAnsi="Book Antiqua" w:cs="Book Antiqua"/>
          <w:sz w:val="24"/>
          <w:szCs w:val="24"/>
        </w:rPr>
        <w:t>judgments</w:t>
      </w:r>
      <w:r>
        <w:rPr>
          <w:rFonts w:ascii="Book Antiqua" w:eastAsia="Times New Roman" w:hAnsi="Book Antiqua" w:cs="Book Antiqua"/>
          <w:sz w:val="24"/>
          <w:szCs w:val="24"/>
        </w:rPr>
        <w:t xml:space="preserve"> of fact and value have been made by </w:t>
      </w:r>
      <w:r w:rsidR="00974AD0">
        <w:rPr>
          <w:rFonts w:ascii="Book Antiqua" w:eastAsia="Times New Roman" w:hAnsi="Book Antiqua" w:cs="Book Antiqua"/>
          <w:sz w:val="24"/>
          <w:szCs w:val="24"/>
        </w:rPr>
        <w:t>both</w:t>
      </w:r>
      <w:r>
        <w:rPr>
          <w:rFonts w:ascii="Book Antiqua" w:eastAsia="Times New Roman" w:hAnsi="Book Antiqua" w:cs="Book Antiqua"/>
          <w:sz w:val="24"/>
          <w:szCs w:val="24"/>
        </w:rPr>
        <w:t xml:space="preserve"> communities during their time of separation from one another.  </w:t>
      </w:r>
      <w:r w:rsidR="00974AD0">
        <w:rPr>
          <w:rFonts w:ascii="Book Antiqua" w:eastAsia="Times New Roman" w:hAnsi="Book Antiqua" w:cs="Book Antiqua"/>
          <w:sz w:val="24"/>
          <w:szCs w:val="24"/>
        </w:rPr>
        <w:t>The making of judgments is what Christians are supposed to do; making them separately, and sometimes in defiance of one another, is where the strain on unity comes in.</w:t>
      </w:r>
      <w:r>
        <w:rPr>
          <w:rFonts w:ascii="Book Antiqua" w:eastAsia="Times New Roman" w:hAnsi="Book Antiqua" w:cs="Book Antiqua"/>
          <w:sz w:val="24"/>
          <w:szCs w:val="24"/>
        </w:rPr>
        <w:t xml:space="preserve">  </w:t>
      </w:r>
      <w:r w:rsidR="00974AD0">
        <w:rPr>
          <w:rFonts w:ascii="Book Antiqua" w:eastAsia="Times New Roman" w:hAnsi="Book Antiqua" w:cs="Book Antiqua"/>
          <w:sz w:val="24"/>
          <w:szCs w:val="24"/>
        </w:rPr>
        <w:t xml:space="preserve">That is why the international Faith and Order dialogues have always been concerned not merely with theology in general, but with the harmony (or lack thereof) of doctrines.   What will surprise the reader is that both Reformed and Catholic traditions speak extensively of lay people not merely as theologians in the general sense, </w:t>
      </w:r>
      <w:r w:rsidR="00974AD0" w:rsidRPr="00553661">
        <w:rPr>
          <w:rFonts w:ascii="Book Antiqua" w:eastAsia="Times New Roman" w:hAnsi="Book Antiqua" w:cs="Book Antiqua"/>
          <w:sz w:val="24"/>
          <w:szCs w:val="24"/>
        </w:rPr>
        <w:t>but as</w:t>
      </w:r>
      <w:r w:rsidR="00974AD0" w:rsidRPr="00974AD0">
        <w:rPr>
          <w:rFonts w:ascii="Book Antiqua" w:eastAsia="Times New Roman" w:hAnsi="Book Antiqua" w:cs="Book Antiqua"/>
          <w:i/>
          <w:sz w:val="24"/>
          <w:szCs w:val="24"/>
        </w:rPr>
        <w:t xml:space="preserve"> stewards of doctrine </w:t>
      </w:r>
      <w:r w:rsidR="00974AD0" w:rsidRPr="00553661">
        <w:rPr>
          <w:rFonts w:ascii="Book Antiqua" w:eastAsia="Times New Roman" w:hAnsi="Book Antiqua" w:cs="Book Antiqua"/>
          <w:sz w:val="24"/>
          <w:szCs w:val="24"/>
        </w:rPr>
        <w:t>in the particular sense</w:t>
      </w:r>
      <w:r w:rsidR="00974AD0">
        <w:rPr>
          <w:rFonts w:ascii="Book Antiqua" w:eastAsia="Times New Roman" w:hAnsi="Book Antiqua" w:cs="Book Antiqua"/>
          <w:sz w:val="24"/>
          <w:szCs w:val="24"/>
        </w:rPr>
        <w:t xml:space="preserve">.  Lay people have a right, and in fact a duty, to exercise theological judgment within their faith communities.    </w:t>
      </w:r>
      <w:r w:rsidR="00974AD0" w:rsidRPr="00974AD0">
        <w:rPr>
          <w:rFonts w:ascii="Book Antiqua" w:eastAsia="Times New Roman" w:hAnsi="Book Antiqua" w:cs="Book Antiqua"/>
          <w:sz w:val="24"/>
          <w:szCs w:val="24"/>
        </w:rPr>
        <w:t xml:space="preserve"> </w:t>
      </w:r>
      <w:r w:rsidR="00974AD0">
        <w:rPr>
          <w:rFonts w:ascii="Book Antiqua" w:eastAsia="Times New Roman" w:hAnsi="Book Antiqua" w:cs="Book Antiqua"/>
          <w:sz w:val="24"/>
          <w:szCs w:val="24"/>
        </w:rPr>
        <w:t xml:space="preserve">If </w:t>
      </w:r>
      <w:r w:rsidR="00522D9E">
        <w:rPr>
          <w:rFonts w:ascii="Book Antiqua" w:eastAsia="Times New Roman" w:hAnsi="Book Antiqua" w:cs="Book Antiqua"/>
          <w:sz w:val="24"/>
          <w:szCs w:val="24"/>
        </w:rPr>
        <w:t>we can establish that both</w:t>
      </w:r>
      <w:r w:rsidR="00553661">
        <w:rPr>
          <w:rFonts w:ascii="Book Antiqua" w:eastAsia="Times New Roman" w:hAnsi="Book Antiqua" w:cs="Book Antiqua"/>
          <w:sz w:val="24"/>
          <w:szCs w:val="24"/>
        </w:rPr>
        <w:t xml:space="preserve"> Reformed and Catholic</w:t>
      </w:r>
      <w:r w:rsidR="00522D9E">
        <w:rPr>
          <w:rFonts w:ascii="Book Antiqua" w:eastAsia="Times New Roman" w:hAnsi="Book Antiqua" w:cs="Book Antiqua"/>
          <w:sz w:val="24"/>
          <w:szCs w:val="24"/>
        </w:rPr>
        <w:t xml:space="preserve"> traditions </w:t>
      </w:r>
      <w:r w:rsidR="00522D9E">
        <w:rPr>
          <w:rFonts w:ascii="Book Antiqua" w:eastAsia="Times New Roman" w:hAnsi="Book Antiqua" w:cs="Book Antiqua"/>
          <w:sz w:val="24"/>
          <w:szCs w:val="24"/>
        </w:rPr>
        <w:lastRenderedPageBreak/>
        <w:t xml:space="preserve">endorse the judgment of lay people, then it is even more mysterious why </w:t>
      </w:r>
      <w:r w:rsidR="00553661">
        <w:rPr>
          <w:rFonts w:ascii="Book Antiqua" w:eastAsia="Times New Roman" w:hAnsi="Book Antiqua" w:cs="Book Antiqua"/>
          <w:sz w:val="24"/>
          <w:szCs w:val="24"/>
        </w:rPr>
        <w:t>members of these churches</w:t>
      </w:r>
      <w:r w:rsidR="00522D9E">
        <w:rPr>
          <w:rFonts w:ascii="Book Antiqua" w:eastAsia="Times New Roman" w:hAnsi="Book Antiqua" w:cs="Book Antiqua"/>
          <w:sz w:val="24"/>
          <w:szCs w:val="24"/>
        </w:rPr>
        <w:t xml:space="preserve"> have not been invited or equipped to participate in a Faith and Order style of ecumenism</w:t>
      </w:r>
      <w:r w:rsidR="00C90C14">
        <w:rPr>
          <w:rFonts w:ascii="Book Antiqua" w:eastAsia="Times New Roman" w:hAnsi="Book Antiqua" w:cs="Book Antiqua"/>
          <w:sz w:val="24"/>
          <w:szCs w:val="24"/>
        </w:rPr>
        <w:t xml:space="preserve"> in their own </w:t>
      </w:r>
      <w:r w:rsidR="005F2D83">
        <w:rPr>
          <w:rFonts w:ascii="Book Antiqua" w:eastAsia="Times New Roman" w:hAnsi="Book Antiqua" w:cs="Book Antiqua"/>
          <w:sz w:val="24"/>
          <w:szCs w:val="24"/>
        </w:rPr>
        <w:t>contexts</w:t>
      </w:r>
      <w:r w:rsidR="00522D9E">
        <w:rPr>
          <w:rFonts w:ascii="Book Antiqua" w:eastAsia="Times New Roman" w:hAnsi="Book Antiqua" w:cs="Book Antiqua"/>
          <w:sz w:val="24"/>
          <w:szCs w:val="24"/>
        </w:rPr>
        <w:t>.</w:t>
      </w:r>
    </w:p>
    <w:p w14:paraId="75CDF40B" w14:textId="2023781B" w:rsidR="00522D9E" w:rsidRPr="005E0240" w:rsidRDefault="00522D9E" w:rsidP="005E0240">
      <w:pPr>
        <w:pStyle w:val="Heading2"/>
        <w:rPr>
          <w:rFonts w:ascii="Book Antiqua" w:eastAsia="Calibri" w:hAnsi="Book Antiqua"/>
          <w:color w:val="auto"/>
          <w:sz w:val="28"/>
        </w:rPr>
      </w:pPr>
      <w:bookmarkStart w:id="7" w:name="_Hlk518838523"/>
      <w:bookmarkStart w:id="8" w:name="_Toc523909727"/>
      <w:r w:rsidRPr="005E0240">
        <w:rPr>
          <w:rFonts w:ascii="Book Antiqua" w:eastAsia="Calibri" w:hAnsi="Book Antiqua"/>
          <w:color w:val="auto"/>
          <w:sz w:val="28"/>
        </w:rPr>
        <w:t>Lay People and Doctrine in the Reformed Tradition</w:t>
      </w:r>
      <w:bookmarkEnd w:id="8"/>
    </w:p>
    <w:bookmarkEnd w:id="7"/>
    <w:p w14:paraId="34C1730B" w14:textId="603475DB" w:rsidR="00522D9E" w:rsidRPr="005E0240" w:rsidRDefault="00522D9E" w:rsidP="005E0240">
      <w:pPr>
        <w:pStyle w:val="Heading2"/>
        <w:rPr>
          <w:rFonts w:ascii="Book Antiqua" w:hAnsi="Book Antiqua"/>
          <w:color w:val="auto"/>
          <w:sz w:val="28"/>
        </w:rPr>
      </w:pPr>
    </w:p>
    <w:p w14:paraId="7A0BA9C7" w14:textId="6B6EEE8B" w:rsidR="00C90C14" w:rsidRDefault="00553661" w:rsidP="00381ECC">
      <w:pPr>
        <w:spacing w:line="360" w:lineRule="auto"/>
        <w:ind w:firstLine="720"/>
        <w:rPr>
          <w:rFonts w:ascii="Book Antiqua" w:eastAsia="Times New Roman" w:hAnsi="Book Antiqua" w:cs="Book Antiqua"/>
          <w:sz w:val="24"/>
          <w:szCs w:val="24"/>
        </w:rPr>
      </w:pPr>
      <w:r>
        <w:rPr>
          <w:rFonts w:ascii="Book Antiqua" w:eastAsia="Times New Roman" w:hAnsi="Book Antiqua" w:cs="Book Antiqua"/>
          <w:sz w:val="24"/>
          <w:szCs w:val="24"/>
        </w:rPr>
        <w:t>Lay</w:t>
      </w:r>
      <w:r w:rsidR="00522D9E" w:rsidRPr="00522D9E">
        <w:rPr>
          <w:rFonts w:ascii="Book Antiqua" w:eastAsia="Times New Roman" w:hAnsi="Book Antiqua" w:cs="Book Antiqua"/>
          <w:sz w:val="24"/>
          <w:szCs w:val="24"/>
        </w:rPr>
        <w:t xml:space="preserve"> people as stewards of doctrine is a massive topic</w:t>
      </w:r>
      <w:r>
        <w:rPr>
          <w:rFonts w:ascii="Book Antiqua" w:eastAsia="Times New Roman" w:hAnsi="Book Antiqua" w:cs="Book Antiqua"/>
          <w:sz w:val="24"/>
          <w:szCs w:val="24"/>
        </w:rPr>
        <w:t>, making</w:t>
      </w:r>
      <w:r w:rsidR="0031398B">
        <w:rPr>
          <w:rFonts w:ascii="Book Antiqua" w:eastAsia="Times New Roman" w:hAnsi="Book Antiqua" w:cs="Book Antiqua"/>
          <w:sz w:val="24"/>
          <w:szCs w:val="24"/>
        </w:rPr>
        <w:t xml:space="preserve"> the</w:t>
      </w:r>
      <w:r w:rsidR="00522D9E" w:rsidRPr="00522D9E">
        <w:rPr>
          <w:rFonts w:ascii="Book Antiqua" w:eastAsia="Times New Roman" w:hAnsi="Book Antiqua" w:cs="Book Antiqua"/>
          <w:sz w:val="24"/>
          <w:szCs w:val="24"/>
        </w:rPr>
        <w:t xml:space="preserve"> following </w:t>
      </w:r>
      <w:r w:rsidR="008E6F12">
        <w:rPr>
          <w:rFonts w:ascii="Book Antiqua" w:eastAsia="Times New Roman" w:hAnsi="Book Antiqua" w:cs="Book Antiqua"/>
          <w:sz w:val="24"/>
          <w:szCs w:val="24"/>
        </w:rPr>
        <w:t>sketches</w:t>
      </w:r>
      <w:r w:rsidR="00522D9E" w:rsidRPr="00522D9E">
        <w:rPr>
          <w:rFonts w:ascii="Book Antiqua" w:eastAsia="Times New Roman" w:hAnsi="Book Antiqua" w:cs="Book Antiqua"/>
          <w:sz w:val="24"/>
          <w:szCs w:val="24"/>
        </w:rPr>
        <w:t xml:space="preserve"> </w:t>
      </w:r>
      <w:r>
        <w:rPr>
          <w:rFonts w:ascii="Book Antiqua" w:eastAsia="Times New Roman" w:hAnsi="Book Antiqua" w:cs="Book Antiqua"/>
          <w:sz w:val="24"/>
          <w:szCs w:val="24"/>
        </w:rPr>
        <w:t>more</w:t>
      </w:r>
      <w:r w:rsidR="00522D9E" w:rsidRPr="00522D9E">
        <w:rPr>
          <w:rFonts w:ascii="Book Antiqua" w:eastAsia="Times New Roman" w:hAnsi="Book Antiqua" w:cs="Book Antiqua"/>
          <w:sz w:val="24"/>
          <w:szCs w:val="24"/>
        </w:rPr>
        <w:t xml:space="preserve"> suggestive</w:t>
      </w:r>
      <w:r w:rsidR="0031398B">
        <w:rPr>
          <w:rFonts w:ascii="Book Antiqua" w:eastAsia="Times New Roman" w:hAnsi="Book Antiqua" w:cs="Book Antiqua"/>
          <w:sz w:val="24"/>
          <w:szCs w:val="24"/>
        </w:rPr>
        <w:t xml:space="preserve"> than</w:t>
      </w:r>
      <w:r w:rsidR="00522D9E" w:rsidRPr="00522D9E">
        <w:rPr>
          <w:rFonts w:ascii="Book Antiqua" w:eastAsia="Times New Roman" w:hAnsi="Book Antiqua" w:cs="Book Antiqua"/>
          <w:sz w:val="24"/>
          <w:szCs w:val="24"/>
        </w:rPr>
        <w:t xml:space="preserve"> exhaustive.  </w:t>
      </w:r>
      <w:r w:rsidR="00522D9E">
        <w:rPr>
          <w:rFonts w:ascii="Book Antiqua" w:eastAsia="Times New Roman" w:hAnsi="Book Antiqua" w:cs="Book Antiqua"/>
          <w:sz w:val="24"/>
          <w:szCs w:val="24"/>
        </w:rPr>
        <w:t xml:space="preserve">  </w:t>
      </w:r>
      <w:r w:rsidR="00055F70">
        <w:rPr>
          <w:rFonts w:ascii="Book Antiqua" w:eastAsia="Times New Roman" w:hAnsi="Book Antiqua" w:cs="Book Antiqua"/>
          <w:sz w:val="24"/>
          <w:szCs w:val="24"/>
        </w:rPr>
        <w:t xml:space="preserve">On the Calvinist side, one is immediately tempted to think in terms of the phrase </w:t>
      </w:r>
      <w:r w:rsidR="00522D9E">
        <w:rPr>
          <w:rFonts w:ascii="Book Antiqua" w:eastAsia="Times New Roman" w:hAnsi="Book Antiqua" w:cs="Book Antiqua"/>
          <w:sz w:val="24"/>
          <w:szCs w:val="24"/>
        </w:rPr>
        <w:t>“the priesthood of all believers</w:t>
      </w:r>
      <w:r w:rsidR="00C90C14">
        <w:rPr>
          <w:rFonts w:ascii="Book Antiqua" w:eastAsia="Times New Roman" w:hAnsi="Book Antiqua" w:cs="Book Antiqua"/>
          <w:sz w:val="24"/>
          <w:szCs w:val="24"/>
        </w:rPr>
        <w:t>.</w:t>
      </w:r>
      <w:r w:rsidR="00522D9E">
        <w:rPr>
          <w:rFonts w:ascii="Book Antiqua" w:eastAsia="Times New Roman" w:hAnsi="Book Antiqua" w:cs="Book Antiqua"/>
          <w:sz w:val="24"/>
          <w:szCs w:val="24"/>
        </w:rPr>
        <w:t>”</w:t>
      </w:r>
      <w:r w:rsidR="00055F70">
        <w:rPr>
          <w:rFonts w:ascii="Book Antiqua" w:eastAsia="Times New Roman" w:hAnsi="Book Antiqua" w:cs="Book Antiqua"/>
          <w:sz w:val="24"/>
          <w:szCs w:val="24"/>
        </w:rPr>
        <w:t xml:space="preserve"> All Christians are priests</w:t>
      </w:r>
      <w:r w:rsidR="0031398B">
        <w:rPr>
          <w:rFonts w:ascii="Book Antiqua" w:eastAsia="Times New Roman" w:hAnsi="Book Antiqua" w:cs="Book Antiqua"/>
          <w:sz w:val="24"/>
          <w:szCs w:val="24"/>
        </w:rPr>
        <w:t>, which confers on</w:t>
      </w:r>
      <w:r w:rsidR="00055F70">
        <w:rPr>
          <w:rFonts w:ascii="Book Antiqua" w:eastAsia="Times New Roman" w:hAnsi="Book Antiqua" w:cs="Book Antiqua"/>
          <w:sz w:val="24"/>
          <w:szCs w:val="24"/>
        </w:rPr>
        <w:t xml:space="preserve"> all </w:t>
      </w:r>
      <w:r w:rsidR="00BA28FA">
        <w:rPr>
          <w:rFonts w:ascii="Book Antiqua" w:eastAsia="Times New Roman" w:hAnsi="Book Antiqua" w:cs="Book Antiqua"/>
          <w:sz w:val="24"/>
          <w:szCs w:val="24"/>
        </w:rPr>
        <w:t xml:space="preserve">equally </w:t>
      </w:r>
      <w:r w:rsidR="0031398B">
        <w:rPr>
          <w:rFonts w:ascii="Book Antiqua" w:eastAsia="Times New Roman" w:hAnsi="Book Antiqua" w:cs="Book Antiqua"/>
          <w:sz w:val="24"/>
          <w:szCs w:val="24"/>
        </w:rPr>
        <w:t>the</w:t>
      </w:r>
      <w:r w:rsidR="00055F70">
        <w:rPr>
          <w:rFonts w:ascii="Book Antiqua" w:eastAsia="Times New Roman" w:hAnsi="Book Antiqua" w:cs="Book Antiqua"/>
          <w:sz w:val="24"/>
          <w:szCs w:val="24"/>
        </w:rPr>
        <w:t xml:space="preserve"> responsibility </w:t>
      </w:r>
      <w:r w:rsidR="0031398B">
        <w:rPr>
          <w:rFonts w:ascii="Book Antiqua" w:eastAsia="Times New Roman" w:hAnsi="Book Antiqua" w:cs="Book Antiqua"/>
          <w:sz w:val="24"/>
          <w:szCs w:val="24"/>
        </w:rPr>
        <w:t>of making</w:t>
      </w:r>
      <w:r w:rsidR="00C90C14">
        <w:rPr>
          <w:rFonts w:ascii="Book Antiqua" w:eastAsia="Times New Roman" w:hAnsi="Book Antiqua" w:cs="Book Antiqua"/>
          <w:sz w:val="24"/>
          <w:szCs w:val="24"/>
        </w:rPr>
        <w:t xml:space="preserve"> judgments regarding what is true and good for the Church to believe, based on the </w:t>
      </w:r>
      <w:r w:rsidR="00055F70">
        <w:rPr>
          <w:rFonts w:ascii="Book Antiqua" w:eastAsia="Times New Roman" w:hAnsi="Book Antiqua" w:cs="Book Antiqua"/>
          <w:sz w:val="24"/>
          <w:szCs w:val="24"/>
        </w:rPr>
        <w:t xml:space="preserve">Scriptures.  </w:t>
      </w:r>
      <w:r w:rsidR="00C90C14">
        <w:rPr>
          <w:rFonts w:ascii="Book Antiqua" w:eastAsia="Times New Roman" w:hAnsi="Book Antiqua" w:cs="Book Antiqua"/>
          <w:sz w:val="24"/>
          <w:szCs w:val="24"/>
        </w:rPr>
        <w:t>Doesn’t this settle the issue?  Not exactly.</w:t>
      </w:r>
    </w:p>
    <w:p w14:paraId="1957110A" w14:textId="52C61287" w:rsidR="0045364D" w:rsidRDefault="00803C71" w:rsidP="0045364D">
      <w:pPr>
        <w:spacing w:line="360" w:lineRule="auto"/>
        <w:ind w:firstLine="720"/>
        <w:rPr>
          <w:rFonts w:ascii="Book Antiqua" w:eastAsia="Calibri" w:hAnsi="Book Antiqua" w:cs="Times New Roman"/>
          <w:sz w:val="24"/>
        </w:rPr>
      </w:pPr>
      <w:r>
        <w:rPr>
          <w:rFonts w:ascii="Book Antiqua" w:eastAsia="Times New Roman" w:hAnsi="Book Antiqua" w:cs="Book Antiqua"/>
          <w:sz w:val="24"/>
          <w:szCs w:val="24"/>
        </w:rPr>
        <w:t>The</w:t>
      </w:r>
      <w:r w:rsidR="00055F70">
        <w:rPr>
          <w:rFonts w:ascii="Book Antiqua" w:eastAsia="Times New Roman" w:hAnsi="Book Antiqua" w:cs="Book Antiqua"/>
          <w:sz w:val="24"/>
          <w:szCs w:val="24"/>
        </w:rPr>
        <w:t xml:space="preserve"> well-known phrase</w:t>
      </w:r>
      <w:r>
        <w:rPr>
          <w:rFonts w:ascii="Book Antiqua" w:eastAsia="Times New Roman" w:hAnsi="Book Antiqua" w:cs="Book Antiqua"/>
          <w:sz w:val="24"/>
          <w:szCs w:val="24"/>
        </w:rPr>
        <w:t xml:space="preserve"> “priesthood of all believers”</w:t>
      </w:r>
      <w:r w:rsidR="00055F70">
        <w:rPr>
          <w:rFonts w:ascii="Book Antiqua" w:eastAsia="Times New Roman" w:hAnsi="Book Antiqua" w:cs="Book Antiqua"/>
          <w:sz w:val="24"/>
          <w:szCs w:val="24"/>
        </w:rPr>
        <w:t xml:space="preserve"> comes from Martin Luther, </w:t>
      </w:r>
      <w:r w:rsidR="00381ECC">
        <w:rPr>
          <w:rFonts w:ascii="Book Antiqua" w:eastAsia="Times New Roman" w:hAnsi="Book Antiqua" w:cs="Book Antiqua"/>
          <w:sz w:val="24"/>
          <w:szCs w:val="24"/>
        </w:rPr>
        <w:t xml:space="preserve">not from John Calvin, whose </w:t>
      </w:r>
      <w:r w:rsidR="00444A52">
        <w:rPr>
          <w:rFonts w:ascii="Book Antiqua" w:eastAsia="Times New Roman" w:hAnsi="Book Antiqua" w:cs="Book Antiqua"/>
          <w:sz w:val="24"/>
          <w:szCs w:val="24"/>
        </w:rPr>
        <w:t>never used the phrase</w:t>
      </w:r>
      <w:r w:rsidR="00381ECC">
        <w:rPr>
          <w:rFonts w:ascii="Book Antiqua" w:eastAsia="Times New Roman" w:hAnsi="Book Antiqua" w:cs="Book Antiqua"/>
          <w:sz w:val="24"/>
          <w:szCs w:val="24"/>
        </w:rPr>
        <w:t>.</w:t>
      </w:r>
      <w:r w:rsidR="0031398B">
        <w:rPr>
          <w:rStyle w:val="FootnoteReference"/>
          <w:rFonts w:ascii="Book Antiqua" w:eastAsia="Times New Roman" w:hAnsi="Book Antiqua" w:cs="Book Antiqua"/>
          <w:sz w:val="24"/>
          <w:szCs w:val="24"/>
        </w:rPr>
        <w:footnoteReference w:id="16"/>
      </w:r>
      <w:r w:rsidR="00381ECC">
        <w:rPr>
          <w:rFonts w:ascii="Book Antiqua" w:eastAsia="Times New Roman" w:hAnsi="Book Antiqua" w:cs="Book Antiqua"/>
          <w:sz w:val="24"/>
          <w:szCs w:val="24"/>
        </w:rPr>
        <w:t xml:space="preserve">  We find Calvin’s own approach mainly in his </w:t>
      </w:r>
      <w:r w:rsidR="00522D9E">
        <w:rPr>
          <w:rFonts w:ascii="Book Antiqua" w:eastAsia="Calibri" w:hAnsi="Book Antiqua" w:cs="Times New Roman"/>
          <w:sz w:val="24"/>
        </w:rPr>
        <w:t xml:space="preserve">discussion of the </w:t>
      </w:r>
      <w:r w:rsidR="00522D9E" w:rsidRPr="00DA26F4">
        <w:rPr>
          <w:rFonts w:ascii="Book Antiqua" w:eastAsia="Calibri" w:hAnsi="Book Antiqua" w:cs="Times New Roman"/>
          <w:sz w:val="24"/>
        </w:rPr>
        <w:t>threefold office</w:t>
      </w:r>
      <w:r w:rsidR="00522D9E">
        <w:rPr>
          <w:rFonts w:ascii="Book Antiqua" w:eastAsia="Calibri" w:hAnsi="Book Antiqua" w:cs="Times New Roman"/>
          <w:sz w:val="24"/>
        </w:rPr>
        <w:t xml:space="preserve"> of </w:t>
      </w:r>
      <w:r w:rsidR="00381ECC">
        <w:rPr>
          <w:rFonts w:ascii="Book Antiqua" w:eastAsia="Calibri" w:hAnsi="Book Antiqua" w:cs="Times New Roman"/>
          <w:sz w:val="24"/>
        </w:rPr>
        <w:t xml:space="preserve">Jesus </w:t>
      </w:r>
      <w:r w:rsidR="00522D9E">
        <w:rPr>
          <w:rFonts w:ascii="Book Antiqua" w:eastAsia="Calibri" w:hAnsi="Book Antiqua" w:cs="Times New Roman"/>
          <w:sz w:val="24"/>
        </w:rPr>
        <w:t>Christ in Book II</w:t>
      </w:r>
      <w:r w:rsidR="00381ECC">
        <w:rPr>
          <w:rFonts w:ascii="Book Antiqua" w:eastAsia="Calibri" w:hAnsi="Book Antiqua" w:cs="Times New Roman"/>
          <w:sz w:val="24"/>
        </w:rPr>
        <w:t xml:space="preserve"> of his </w:t>
      </w:r>
      <w:r w:rsidR="00522D9E" w:rsidRPr="00381ECC">
        <w:rPr>
          <w:rFonts w:ascii="Book Antiqua" w:eastAsia="Calibri" w:hAnsi="Book Antiqua" w:cs="Times New Roman"/>
          <w:i/>
          <w:sz w:val="24"/>
        </w:rPr>
        <w:t>Institutes of the Christian Religion</w:t>
      </w:r>
      <w:r w:rsidR="00381ECC">
        <w:rPr>
          <w:rFonts w:ascii="Book Antiqua" w:eastAsia="Calibri" w:hAnsi="Book Antiqua" w:cs="Times New Roman"/>
          <w:sz w:val="24"/>
        </w:rPr>
        <w:t xml:space="preserve">.  </w:t>
      </w:r>
      <w:r w:rsidR="00AD4766">
        <w:rPr>
          <w:rFonts w:ascii="Book Antiqua" w:eastAsia="Calibri" w:hAnsi="Book Antiqua" w:cs="Times New Roman"/>
          <w:sz w:val="24"/>
        </w:rPr>
        <w:t xml:space="preserve">Calvin </w:t>
      </w:r>
      <w:r w:rsidR="00381ECC">
        <w:rPr>
          <w:rFonts w:ascii="Book Antiqua" w:eastAsia="Calibri" w:hAnsi="Book Antiqua" w:cs="Times New Roman"/>
          <w:sz w:val="24"/>
        </w:rPr>
        <w:t>affirm</w:t>
      </w:r>
      <w:r w:rsidR="0037130F">
        <w:rPr>
          <w:rFonts w:ascii="Book Antiqua" w:eastAsia="Calibri" w:hAnsi="Book Antiqua" w:cs="Times New Roman"/>
          <w:sz w:val="24"/>
        </w:rPr>
        <w:t>ed</w:t>
      </w:r>
      <w:r w:rsidR="00381ECC">
        <w:rPr>
          <w:rFonts w:ascii="Book Antiqua" w:eastAsia="Calibri" w:hAnsi="Book Antiqua" w:cs="Times New Roman"/>
          <w:sz w:val="24"/>
        </w:rPr>
        <w:t xml:space="preserve"> that Jesus is the Anointed One (which is the English translation of the Greek word, </w:t>
      </w:r>
      <w:r w:rsidR="00AD4766">
        <w:rPr>
          <w:rFonts w:ascii="Book Antiqua" w:eastAsia="Calibri" w:hAnsi="Book Antiqua" w:cs="Times New Roman"/>
          <w:sz w:val="24"/>
        </w:rPr>
        <w:t>“</w:t>
      </w:r>
      <w:r w:rsidR="00381ECC">
        <w:rPr>
          <w:rFonts w:ascii="Book Antiqua" w:eastAsia="Calibri" w:hAnsi="Book Antiqua" w:cs="Times New Roman"/>
          <w:sz w:val="24"/>
        </w:rPr>
        <w:t>Christ</w:t>
      </w:r>
      <w:r w:rsidR="00AD4766">
        <w:rPr>
          <w:rFonts w:ascii="Book Antiqua" w:eastAsia="Calibri" w:hAnsi="Book Antiqua" w:cs="Times New Roman"/>
          <w:sz w:val="24"/>
        </w:rPr>
        <w:t>”</w:t>
      </w:r>
      <w:r w:rsidR="00381ECC">
        <w:rPr>
          <w:rFonts w:ascii="Book Antiqua" w:eastAsia="Calibri" w:hAnsi="Book Antiqua" w:cs="Times New Roman"/>
          <w:sz w:val="24"/>
        </w:rPr>
        <w:t>)</w:t>
      </w:r>
      <w:r w:rsidR="0045364D">
        <w:rPr>
          <w:rFonts w:ascii="Book Antiqua" w:eastAsia="Calibri" w:hAnsi="Book Antiqua" w:cs="Times New Roman"/>
          <w:sz w:val="24"/>
        </w:rPr>
        <w:t>.  In the Hebrew Scriptures, three types of leaders were inaugurated in their missions by an anointing of oil on the leader’s head.   To call Jesus “Christ” is therefore to recognize him as the fulfillment of these three offices all at once: Jesus the Prophet, Jesus the Priest, and Jesus the King.   Calvin</w:t>
      </w:r>
      <w:r w:rsidR="0037130F">
        <w:rPr>
          <w:rFonts w:ascii="Book Antiqua" w:eastAsia="Calibri" w:hAnsi="Book Antiqua" w:cs="Times New Roman"/>
          <w:sz w:val="24"/>
        </w:rPr>
        <w:t xml:space="preserve"> found</w:t>
      </w:r>
      <w:r w:rsidR="0045364D">
        <w:rPr>
          <w:rFonts w:ascii="Book Antiqua" w:eastAsia="Calibri" w:hAnsi="Book Antiqua" w:cs="Times New Roman"/>
          <w:sz w:val="24"/>
        </w:rPr>
        <w:t xml:space="preserve"> in this “</w:t>
      </w:r>
      <w:r w:rsidR="0031398B">
        <w:rPr>
          <w:rFonts w:ascii="Book Antiqua" w:eastAsia="Calibri" w:hAnsi="Book Antiqua" w:cs="Times New Roman"/>
          <w:sz w:val="24"/>
        </w:rPr>
        <w:t>t</w:t>
      </w:r>
      <w:r w:rsidR="0045364D">
        <w:rPr>
          <w:rFonts w:ascii="Book Antiqua" w:eastAsia="Calibri" w:hAnsi="Book Antiqua" w:cs="Times New Roman"/>
          <w:sz w:val="24"/>
        </w:rPr>
        <w:t xml:space="preserve">hreefold </w:t>
      </w:r>
      <w:r w:rsidR="0031398B">
        <w:rPr>
          <w:rFonts w:ascii="Book Antiqua" w:eastAsia="Calibri" w:hAnsi="Book Antiqua" w:cs="Times New Roman"/>
          <w:sz w:val="24"/>
        </w:rPr>
        <w:t>o</w:t>
      </w:r>
      <w:r w:rsidR="0045364D">
        <w:rPr>
          <w:rFonts w:ascii="Book Antiqua" w:eastAsia="Calibri" w:hAnsi="Book Antiqua" w:cs="Times New Roman"/>
          <w:sz w:val="24"/>
        </w:rPr>
        <w:t xml:space="preserve">ffice” a </w:t>
      </w:r>
      <w:r w:rsidR="0031398B">
        <w:rPr>
          <w:rFonts w:ascii="Book Antiqua" w:eastAsia="Calibri" w:hAnsi="Book Antiqua" w:cs="Times New Roman"/>
          <w:sz w:val="24"/>
        </w:rPr>
        <w:t>deeply satisfying</w:t>
      </w:r>
      <w:r w:rsidR="0045364D">
        <w:rPr>
          <w:rFonts w:ascii="Book Antiqua" w:eastAsia="Calibri" w:hAnsi="Book Antiqua" w:cs="Times New Roman"/>
          <w:sz w:val="24"/>
        </w:rPr>
        <w:t xml:space="preserve"> portrait of who Jesus is and what he came to do</w:t>
      </w:r>
      <w:r w:rsidR="0031398B">
        <w:rPr>
          <w:rFonts w:ascii="Book Antiqua" w:eastAsia="Calibri" w:hAnsi="Book Antiqua" w:cs="Times New Roman"/>
          <w:sz w:val="24"/>
        </w:rPr>
        <w:t xml:space="preserve">, </w:t>
      </w:r>
      <w:r w:rsidR="000C50DA">
        <w:rPr>
          <w:rFonts w:ascii="Book Antiqua" w:eastAsia="Calibri" w:hAnsi="Book Antiqua" w:cs="Times New Roman"/>
          <w:sz w:val="24"/>
        </w:rPr>
        <w:t>with implications for the ministry of lay people.</w:t>
      </w:r>
    </w:p>
    <w:p w14:paraId="0BC46377" w14:textId="0E6D9D97" w:rsidR="0037130F" w:rsidRPr="00444A52" w:rsidRDefault="000C50DA" w:rsidP="00444A52">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According to Calvin, </w:t>
      </w:r>
      <w:r w:rsidR="008E6F12">
        <w:rPr>
          <w:rFonts w:ascii="Book Antiqua" w:eastAsia="Calibri" w:hAnsi="Book Antiqua" w:cs="Times New Roman"/>
          <w:sz w:val="24"/>
        </w:rPr>
        <w:t xml:space="preserve">Jesus is </w:t>
      </w:r>
      <w:r>
        <w:rPr>
          <w:rFonts w:ascii="Book Antiqua" w:eastAsia="Calibri" w:hAnsi="Book Antiqua" w:cs="Times New Roman"/>
          <w:sz w:val="24"/>
        </w:rPr>
        <w:t xml:space="preserve">the </w:t>
      </w:r>
      <w:r w:rsidR="008E6F12">
        <w:rPr>
          <w:rFonts w:ascii="Book Antiqua" w:eastAsia="Calibri" w:hAnsi="Book Antiqua" w:cs="Times New Roman"/>
          <w:sz w:val="24"/>
        </w:rPr>
        <w:t xml:space="preserve">Prophet </w:t>
      </w:r>
      <w:r>
        <w:rPr>
          <w:rFonts w:ascii="Book Antiqua" w:eastAsia="Calibri" w:hAnsi="Book Antiqua" w:cs="Times New Roman"/>
          <w:sz w:val="24"/>
        </w:rPr>
        <w:t xml:space="preserve">who (both in his earthly ministry and through the preaching of the church) has proclaimed the reign of God as the Hebrew prophets did.  Yet he is far beyond them too, for the Word of God he proclaims is Himself. “In the beginning was the Word. . . and the Word was God” [John 1.1 NRSV].   Therefore </w:t>
      </w:r>
      <w:r w:rsidR="0031398B">
        <w:rPr>
          <w:rFonts w:ascii="Book Antiqua" w:eastAsia="Calibri" w:hAnsi="Book Antiqua" w:cs="Times New Roman"/>
          <w:sz w:val="24"/>
        </w:rPr>
        <w:t>Jesus</w:t>
      </w:r>
      <w:r>
        <w:rPr>
          <w:rFonts w:ascii="Book Antiqua" w:eastAsia="Calibri" w:hAnsi="Book Antiqua" w:cs="Times New Roman"/>
          <w:sz w:val="24"/>
        </w:rPr>
        <w:t xml:space="preserve"> fulfills and dramatically expands the prophetic office.  He does the </w:t>
      </w:r>
      <w:r>
        <w:rPr>
          <w:rFonts w:ascii="Book Antiqua" w:eastAsia="Calibri" w:hAnsi="Book Antiqua" w:cs="Times New Roman"/>
          <w:sz w:val="24"/>
        </w:rPr>
        <w:lastRenderedPageBreak/>
        <w:t>same with the office of Priest</w:t>
      </w:r>
      <w:r w:rsidR="0031398B">
        <w:rPr>
          <w:rFonts w:ascii="Book Antiqua" w:eastAsia="Calibri" w:hAnsi="Book Antiqua" w:cs="Times New Roman"/>
          <w:sz w:val="24"/>
        </w:rPr>
        <w:t xml:space="preserve">. </w:t>
      </w:r>
      <w:r>
        <w:rPr>
          <w:rFonts w:ascii="Book Antiqua" w:eastAsia="Calibri" w:hAnsi="Book Antiqua" w:cs="Times New Roman"/>
          <w:sz w:val="24"/>
        </w:rPr>
        <w:t xml:space="preserve"> </w:t>
      </w:r>
      <w:r w:rsidR="00444A52">
        <w:rPr>
          <w:rFonts w:ascii="Book Antiqua" w:eastAsia="Calibri" w:hAnsi="Book Antiqua" w:cs="Times New Roman"/>
          <w:sz w:val="24"/>
        </w:rPr>
        <w:t>The priests of ancient Israel employed sacrifices, minutely instituted by God, to reduce the strain of sin on the relationship between God and his people.   The death of Jesus is the ultimate healing of the breach.  Only Jesus--</w:t>
      </w:r>
      <w:r w:rsidR="0031398B">
        <w:rPr>
          <w:rFonts w:ascii="Book Antiqua" w:eastAsia="Calibri" w:hAnsi="Book Antiqua" w:cs="Times New Roman"/>
          <w:sz w:val="24"/>
        </w:rPr>
        <w:t>fully human and fully divine</w:t>
      </w:r>
      <w:r w:rsidR="00444A52">
        <w:rPr>
          <w:rFonts w:ascii="Book Antiqua" w:eastAsia="Calibri" w:hAnsi="Book Antiqua" w:cs="Times New Roman"/>
          <w:sz w:val="24"/>
        </w:rPr>
        <w:t>--</w:t>
      </w:r>
      <w:r w:rsidR="0031398B">
        <w:rPr>
          <w:rFonts w:ascii="Book Antiqua" w:eastAsia="Calibri" w:hAnsi="Book Antiqua" w:cs="Times New Roman"/>
          <w:sz w:val="24"/>
        </w:rPr>
        <w:t xml:space="preserve"> can </w:t>
      </w:r>
      <w:r w:rsidR="0037130F">
        <w:rPr>
          <w:rFonts w:ascii="Book Antiqua" w:eastAsia="Calibri" w:hAnsi="Book Antiqua" w:cs="Times New Roman"/>
          <w:sz w:val="24"/>
        </w:rPr>
        <w:t>pay the debt which all of</w:t>
      </w:r>
      <w:r w:rsidR="00D56BD9">
        <w:rPr>
          <w:rFonts w:ascii="Book Antiqua" w:eastAsia="Calibri" w:hAnsi="Book Antiqua" w:cs="Times New Roman"/>
          <w:sz w:val="24"/>
        </w:rPr>
        <w:t xml:space="preserve"> humanity owes</w:t>
      </w:r>
      <w:r w:rsidR="00444A52">
        <w:rPr>
          <w:rFonts w:ascii="Book Antiqua" w:eastAsia="Calibri" w:hAnsi="Book Antiqua" w:cs="Times New Roman"/>
          <w:sz w:val="24"/>
        </w:rPr>
        <w:t>.  In</w:t>
      </w:r>
      <w:r w:rsidR="00D56BD9">
        <w:rPr>
          <w:rFonts w:ascii="Book Antiqua" w:eastAsia="Calibri" w:hAnsi="Book Antiqua" w:cs="Times New Roman"/>
          <w:sz w:val="24"/>
        </w:rPr>
        <w:t xml:space="preserve"> the same breath he graciously accepts that payment, since he is</w:t>
      </w:r>
      <w:r w:rsidR="00444A52">
        <w:rPr>
          <w:rFonts w:ascii="Book Antiqua" w:eastAsia="Calibri" w:hAnsi="Book Antiqua" w:cs="Times New Roman"/>
          <w:sz w:val="24"/>
        </w:rPr>
        <w:t xml:space="preserve"> also</w:t>
      </w:r>
      <w:r w:rsidR="00D56BD9">
        <w:rPr>
          <w:rFonts w:ascii="Book Antiqua" w:eastAsia="Calibri" w:hAnsi="Book Antiqua" w:cs="Times New Roman"/>
          <w:sz w:val="24"/>
        </w:rPr>
        <w:t xml:space="preserve"> the God to whom we owe it</w:t>
      </w:r>
      <w:r w:rsidR="0037130F">
        <w:rPr>
          <w:rFonts w:ascii="Book Antiqua" w:eastAsia="Calibri" w:hAnsi="Book Antiqua" w:cs="Times New Roman"/>
          <w:sz w:val="24"/>
        </w:rPr>
        <w:t xml:space="preserve">.  And </w:t>
      </w:r>
      <w:r w:rsidR="00D56BD9">
        <w:rPr>
          <w:rFonts w:ascii="Book Antiqua" w:eastAsia="Calibri" w:hAnsi="Book Antiqua" w:cs="Times New Roman"/>
          <w:sz w:val="24"/>
        </w:rPr>
        <w:t>Jesus</w:t>
      </w:r>
      <w:r w:rsidR="0037130F">
        <w:rPr>
          <w:rFonts w:ascii="Book Antiqua" w:eastAsia="Calibri" w:hAnsi="Book Antiqua" w:cs="Times New Roman"/>
          <w:sz w:val="24"/>
        </w:rPr>
        <w:t xml:space="preserve"> alone is our King because</w:t>
      </w:r>
      <w:r w:rsidR="0031398B">
        <w:rPr>
          <w:rFonts w:ascii="Book Antiqua" w:eastAsia="Calibri" w:hAnsi="Book Antiqua" w:cs="Times New Roman"/>
          <w:sz w:val="24"/>
        </w:rPr>
        <w:t xml:space="preserve"> he fulfills the promises made to the House of David in his </w:t>
      </w:r>
      <w:r w:rsidR="0037130F">
        <w:rPr>
          <w:rFonts w:ascii="Book Antiqua" w:eastAsia="Calibri" w:hAnsi="Book Antiqua" w:cs="Times New Roman"/>
          <w:sz w:val="24"/>
        </w:rPr>
        <w:t xml:space="preserve">very </w:t>
      </w:r>
      <w:r w:rsidR="0031398B">
        <w:rPr>
          <w:rFonts w:ascii="Book Antiqua" w:eastAsia="Calibri" w:hAnsi="Book Antiqua" w:cs="Times New Roman"/>
          <w:sz w:val="24"/>
        </w:rPr>
        <w:t xml:space="preserve">person.  </w:t>
      </w:r>
      <w:r w:rsidR="00444A52">
        <w:rPr>
          <w:rFonts w:ascii="Book Antiqua" w:eastAsia="Calibri" w:hAnsi="Book Antiqua" w:cs="Times New Roman"/>
          <w:sz w:val="24"/>
        </w:rPr>
        <w:t xml:space="preserve">According to Calvin, </w:t>
      </w:r>
      <w:r w:rsidR="0037130F">
        <w:rPr>
          <w:rFonts w:ascii="Book Antiqua" w:eastAsia="Calibri" w:hAnsi="Book Antiqua" w:cs="Times New Roman"/>
          <w:sz w:val="24"/>
        </w:rPr>
        <w:t xml:space="preserve">Christ </w:t>
      </w:r>
      <w:r w:rsidR="00D56BD9">
        <w:rPr>
          <w:rFonts w:ascii="Book Antiqua" w:eastAsia="Calibri" w:hAnsi="Book Antiqua" w:cs="Times New Roman"/>
          <w:sz w:val="24"/>
        </w:rPr>
        <w:t>the</w:t>
      </w:r>
      <w:r w:rsidR="0037130F">
        <w:rPr>
          <w:rFonts w:ascii="Book Antiqua" w:eastAsia="Calibri" w:hAnsi="Book Antiqua" w:cs="Times New Roman"/>
          <w:sz w:val="24"/>
        </w:rPr>
        <w:t xml:space="preserve"> King</w:t>
      </w:r>
      <w:r w:rsidR="0031398B">
        <w:rPr>
          <w:rFonts w:ascii="Book Antiqua" w:eastAsia="Calibri" w:hAnsi="Book Antiqua" w:cs="Times New Roman"/>
          <w:sz w:val="24"/>
        </w:rPr>
        <w:t xml:space="preserve"> </w:t>
      </w:r>
      <w:r w:rsidR="008E6F12">
        <w:rPr>
          <w:rFonts w:ascii="Book Antiqua" w:eastAsia="Calibri" w:hAnsi="Book Antiqua" w:cs="Times New Roman"/>
          <w:sz w:val="24"/>
        </w:rPr>
        <w:t xml:space="preserve">protects </w:t>
      </w:r>
      <w:r w:rsidR="0037130F">
        <w:rPr>
          <w:rFonts w:ascii="Book Antiqua" w:eastAsia="Calibri" w:hAnsi="Book Antiqua" w:cs="Times New Roman"/>
          <w:sz w:val="24"/>
        </w:rPr>
        <w:t xml:space="preserve">his people from evil and prevents the church from utterly disappearing no matter </w:t>
      </w:r>
      <w:r w:rsidR="0031398B">
        <w:rPr>
          <w:rFonts w:ascii="Book Antiqua" w:eastAsia="Calibri" w:hAnsi="Book Antiqua" w:cs="Times New Roman"/>
          <w:sz w:val="24"/>
        </w:rPr>
        <w:t xml:space="preserve">how </w:t>
      </w:r>
      <w:r w:rsidR="0037130F">
        <w:rPr>
          <w:rFonts w:ascii="Book Antiqua" w:eastAsia="Calibri" w:hAnsi="Book Antiqua" w:cs="Times New Roman"/>
          <w:sz w:val="24"/>
        </w:rPr>
        <w:t>diminished and</w:t>
      </w:r>
      <w:r w:rsidR="0031398B">
        <w:rPr>
          <w:rFonts w:ascii="Book Antiqua" w:eastAsia="Calibri" w:hAnsi="Book Antiqua" w:cs="Times New Roman"/>
          <w:sz w:val="24"/>
        </w:rPr>
        <w:t xml:space="preserve"> defeated it may appear to be</w:t>
      </w:r>
      <w:r w:rsidR="008E6F12">
        <w:rPr>
          <w:rFonts w:ascii="Book Antiqua" w:eastAsia="Calibri" w:hAnsi="Book Antiqua" w:cs="Times New Roman"/>
          <w:sz w:val="24"/>
        </w:rPr>
        <w:t xml:space="preserve">.  </w:t>
      </w:r>
      <w:r w:rsidR="0031398B">
        <w:rPr>
          <w:rFonts w:ascii="Book Antiqua" w:eastAsia="Calibri" w:hAnsi="Book Antiqua" w:cs="Times New Roman"/>
          <w:sz w:val="24"/>
        </w:rPr>
        <w:t xml:space="preserve">As pure Christology (theology about Jesus) the threefold office is </w:t>
      </w:r>
      <w:r w:rsidR="0037130F">
        <w:rPr>
          <w:rFonts w:ascii="Book Antiqua" w:eastAsia="Calibri" w:hAnsi="Book Antiqua" w:cs="Times New Roman"/>
          <w:sz w:val="24"/>
        </w:rPr>
        <w:t>striking; but Calvin’s end game appear</w:t>
      </w:r>
      <w:r w:rsidR="00D56BD9">
        <w:rPr>
          <w:rFonts w:ascii="Book Antiqua" w:eastAsia="Calibri" w:hAnsi="Book Antiqua" w:cs="Times New Roman"/>
          <w:sz w:val="24"/>
        </w:rPr>
        <w:t>ed</w:t>
      </w:r>
      <w:r w:rsidR="0037130F">
        <w:rPr>
          <w:rFonts w:ascii="Book Antiqua" w:eastAsia="Calibri" w:hAnsi="Book Antiqua" w:cs="Times New Roman"/>
          <w:sz w:val="24"/>
        </w:rPr>
        <w:t xml:space="preserve"> in this powerful sentence: </w:t>
      </w:r>
      <w:r w:rsidR="00522D9E">
        <w:rPr>
          <w:rFonts w:ascii="Book Antiqua" w:eastAsia="Calibri" w:hAnsi="Book Antiqua" w:cs="Times New Roman"/>
          <w:sz w:val="24"/>
        </w:rPr>
        <w:t>“</w:t>
      </w:r>
      <w:r w:rsidR="00522D9E" w:rsidRPr="00A66EB7">
        <w:rPr>
          <w:rFonts w:ascii="Book Antiqua" w:eastAsia="Calibri" w:hAnsi="Book Antiqua" w:cs="Times New Roman"/>
          <w:sz w:val="24"/>
        </w:rPr>
        <w:t xml:space="preserve">Such is the nature of </w:t>
      </w:r>
      <w:r w:rsidR="00522D9E">
        <w:rPr>
          <w:rFonts w:ascii="Book Antiqua" w:eastAsia="Calibri" w:hAnsi="Book Antiqua" w:cs="Times New Roman"/>
          <w:sz w:val="24"/>
        </w:rPr>
        <w:t xml:space="preserve">[Christ’s] </w:t>
      </w:r>
      <w:r w:rsidR="00522D9E" w:rsidRPr="00A66EB7">
        <w:rPr>
          <w:rFonts w:ascii="Book Antiqua" w:eastAsia="Calibri" w:hAnsi="Book Antiqua" w:cs="Times New Roman"/>
          <w:sz w:val="24"/>
        </w:rPr>
        <w:t>rule, that he shares with us all he has received from the Father</w:t>
      </w:r>
      <w:r w:rsidR="006C2A6C">
        <w:rPr>
          <w:rFonts w:ascii="Book Antiqua" w:eastAsia="Calibri" w:hAnsi="Book Antiqua" w:cs="Times New Roman"/>
          <w:sz w:val="24"/>
        </w:rPr>
        <w:t>.”</w:t>
      </w:r>
      <w:r w:rsidR="006C2A6C" w:rsidRPr="006C2A6C">
        <w:rPr>
          <w:rStyle w:val="FootnoteReference"/>
          <w:rFonts w:ascii="Book Antiqua" w:eastAsia="Calibri" w:hAnsi="Book Antiqua" w:cs="Times New Roman"/>
          <w:sz w:val="24"/>
        </w:rPr>
        <w:t xml:space="preserve"> </w:t>
      </w:r>
      <w:r w:rsidR="006C2A6C">
        <w:rPr>
          <w:rStyle w:val="FootnoteReference"/>
          <w:rFonts w:ascii="Book Antiqua" w:eastAsia="Calibri" w:hAnsi="Book Antiqua" w:cs="Times New Roman"/>
          <w:sz w:val="24"/>
        </w:rPr>
        <w:footnoteReference w:id="17"/>
      </w:r>
      <w:r w:rsidR="006C2A6C">
        <w:rPr>
          <w:rFonts w:ascii="Book Antiqua" w:eastAsia="Calibri" w:hAnsi="Book Antiqua" w:cs="Times New Roman"/>
          <w:sz w:val="24"/>
        </w:rPr>
        <w:t xml:space="preserve">  </w:t>
      </w:r>
    </w:p>
    <w:p w14:paraId="79B17C9D" w14:textId="6C5C0997" w:rsidR="00D56BD9" w:rsidRDefault="0037130F" w:rsidP="0031398B">
      <w:pPr>
        <w:spacing w:line="360" w:lineRule="auto"/>
        <w:ind w:firstLine="720"/>
        <w:rPr>
          <w:rFonts w:ascii="Book Antiqua" w:eastAsia="Calibri" w:hAnsi="Book Antiqua" w:cs="Times New Roman"/>
          <w:sz w:val="24"/>
        </w:rPr>
      </w:pPr>
      <w:r>
        <w:rPr>
          <w:rFonts w:ascii="Book Antiqua" w:eastAsia="Calibri" w:hAnsi="Book Antiqua" w:cs="Times New Roman"/>
          <w:sz w:val="24"/>
        </w:rPr>
        <w:t>Calvin believe</w:t>
      </w:r>
      <w:r w:rsidR="00D56BD9">
        <w:rPr>
          <w:rFonts w:ascii="Book Antiqua" w:eastAsia="Calibri" w:hAnsi="Book Antiqua" w:cs="Times New Roman"/>
          <w:sz w:val="24"/>
        </w:rPr>
        <w:t>d that believers share the chrism—the anointing—that makes the Christ.  The oil on the head of Old Testament leaders was a physical expression of the power of the Holy Spirit, calling and equipping them for ministry.  To this day,</w:t>
      </w:r>
      <w:r w:rsidR="008D78D9">
        <w:rPr>
          <w:rFonts w:ascii="Book Antiqua" w:eastAsia="Calibri" w:hAnsi="Book Antiqua" w:cs="Times New Roman"/>
          <w:sz w:val="24"/>
        </w:rPr>
        <w:t xml:space="preserve"> the risen</w:t>
      </w:r>
      <w:r w:rsidR="00D56BD9">
        <w:rPr>
          <w:rFonts w:ascii="Book Antiqua" w:eastAsia="Calibri" w:hAnsi="Book Antiqua" w:cs="Times New Roman"/>
          <w:sz w:val="24"/>
        </w:rPr>
        <w:t xml:space="preserve"> Jesus </w:t>
      </w:r>
      <w:r w:rsidR="008D78D9">
        <w:rPr>
          <w:rFonts w:ascii="Book Antiqua" w:eastAsia="Calibri" w:hAnsi="Book Antiqua" w:cs="Times New Roman"/>
          <w:sz w:val="24"/>
        </w:rPr>
        <w:t xml:space="preserve">always </w:t>
      </w:r>
      <w:r w:rsidR="00D56BD9">
        <w:rPr>
          <w:rFonts w:ascii="Book Antiqua" w:eastAsia="Calibri" w:hAnsi="Book Antiqua" w:cs="Times New Roman"/>
          <w:sz w:val="24"/>
        </w:rPr>
        <w:t xml:space="preserve">acts as Prophet, Priest or King in company with the empowering presence of the Holy Spirit.  Calvin wanted his readers to understand the radical idea that </w:t>
      </w:r>
      <w:r w:rsidR="008D78D9">
        <w:rPr>
          <w:rFonts w:ascii="Book Antiqua" w:eastAsia="Calibri" w:hAnsi="Book Antiqua" w:cs="Times New Roman"/>
          <w:sz w:val="24"/>
        </w:rPr>
        <w:t>they too may live</w:t>
      </w:r>
      <w:r w:rsidR="00D56BD9">
        <w:rPr>
          <w:rFonts w:ascii="Book Antiqua" w:eastAsia="Calibri" w:hAnsi="Book Antiqua" w:cs="Times New Roman"/>
          <w:sz w:val="24"/>
        </w:rPr>
        <w:t xml:space="preserve"> a Christ-shaped life through the agency of the Holy Spirit, and that this Christ-shaped life also includes the threefold office.  Every believer in Christ is a prophet, a priest and a king; everyone single one has gifts and responsibilities of proclamation, of sanctification (that is, of “making holy”) and of governance.</w:t>
      </w:r>
    </w:p>
    <w:p w14:paraId="72F1949D" w14:textId="366F6358" w:rsidR="002732EE" w:rsidRDefault="00EB7D07" w:rsidP="00D56BD9">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It is the prophetic office that, broadly interpreted by Calvin, addresses </w:t>
      </w:r>
      <w:r w:rsidR="00553661">
        <w:rPr>
          <w:rFonts w:ascii="Book Antiqua" w:eastAsia="Calibri" w:hAnsi="Book Antiqua" w:cs="Times New Roman"/>
          <w:sz w:val="24"/>
        </w:rPr>
        <w:t>lay</w:t>
      </w:r>
      <w:r>
        <w:rPr>
          <w:rFonts w:ascii="Book Antiqua" w:eastAsia="Calibri" w:hAnsi="Book Antiqua" w:cs="Times New Roman"/>
          <w:sz w:val="24"/>
        </w:rPr>
        <w:t xml:space="preserve"> stewardship of doctrine.  In Calvin’s mind </w:t>
      </w:r>
      <w:r w:rsidR="001D1C82">
        <w:rPr>
          <w:rFonts w:ascii="Book Antiqua" w:eastAsia="Calibri" w:hAnsi="Book Antiqua" w:cs="Times New Roman"/>
          <w:sz w:val="24"/>
        </w:rPr>
        <w:t>“</w:t>
      </w:r>
      <w:r>
        <w:rPr>
          <w:rFonts w:ascii="Book Antiqua" w:eastAsia="Calibri" w:hAnsi="Book Antiqua" w:cs="Times New Roman"/>
          <w:sz w:val="24"/>
        </w:rPr>
        <w:t>prophecy</w:t>
      </w:r>
      <w:r w:rsidR="001D1C82">
        <w:rPr>
          <w:rFonts w:ascii="Book Antiqua" w:eastAsia="Calibri" w:hAnsi="Book Antiqua" w:cs="Times New Roman"/>
          <w:sz w:val="24"/>
        </w:rPr>
        <w:t>”</w:t>
      </w:r>
      <w:r>
        <w:rPr>
          <w:rFonts w:ascii="Book Antiqua" w:eastAsia="Calibri" w:hAnsi="Book Antiqua" w:cs="Times New Roman"/>
          <w:sz w:val="24"/>
        </w:rPr>
        <w:t xml:space="preserve"> </w:t>
      </w:r>
      <w:r w:rsidR="00BA28FA">
        <w:rPr>
          <w:rFonts w:ascii="Book Antiqua" w:eastAsia="Calibri" w:hAnsi="Book Antiqua" w:cs="Times New Roman"/>
          <w:sz w:val="24"/>
        </w:rPr>
        <w:t xml:space="preserve">was </w:t>
      </w:r>
      <w:r>
        <w:rPr>
          <w:rFonts w:ascii="Book Antiqua" w:eastAsia="Calibri" w:hAnsi="Book Antiqua" w:cs="Times New Roman"/>
          <w:sz w:val="24"/>
        </w:rPr>
        <w:t>an umbrella term that include</w:t>
      </w:r>
      <w:r w:rsidR="00BA28FA">
        <w:rPr>
          <w:rFonts w:ascii="Book Antiqua" w:eastAsia="Calibri" w:hAnsi="Book Antiqua" w:cs="Times New Roman"/>
          <w:sz w:val="24"/>
        </w:rPr>
        <w:t>d</w:t>
      </w:r>
      <w:r>
        <w:rPr>
          <w:rFonts w:ascii="Book Antiqua" w:eastAsia="Calibri" w:hAnsi="Book Antiqua" w:cs="Times New Roman"/>
          <w:sz w:val="24"/>
        </w:rPr>
        <w:t xml:space="preserve"> the work of Old Testament prophets, the sermons of New Testament preachers, and the need for </w:t>
      </w:r>
      <w:r w:rsidR="008D78D9">
        <w:rPr>
          <w:rFonts w:ascii="Book Antiqua" w:eastAsia="Calibri" w:hAnsi="Book Antiqua" w:cs="Times New Roman"/>
          <w:sz w:val="24"/>
        </w:rPr>
        <w:t>sound</w:t>
      </w:r>
      <w:r>
        <w:rPr>
          <w:rFonts w:ascii="Book Antiqua" w:eastAsia="Calibri" w:hAnsi="Book Antiqua" w:cs="Times New Roman"/>
          <w:sz w:val="24"/>
        </w:rPr>
        <w:t xml:space="preserve"> biblical doctrine in the church of his own day.  To our minds, these may seem like three disparate concerns.  But the substance, the central message of all three is Jesus Christ.  </w:t>
      </w:r>
      <w:r w:rsidR="001D1C82">
        <w:rPr>
          <w:rFonts w:ascii="Book Antiqua" w:eastAsia="Calibri" w:hAnsi="Book Antiqua" w:cs="Times New Roman"/>
          <w:sz w:val="24"/>
        </w:rPr>
        <w:t>Calvin taught that</w:t>
      </w:r>
      <w:r>
        <w:rPr>
          <w:rFonts w:ascii="Book Antiqua" w:eastAsia="Calibri" w:hAnsi="Book Antiqua" w:cs="Times New Roman"/>
          <w:sz w:val="24"/>
        </w:rPr>
        <w:t xml:space="preserve"> the Hebrew prophets were </w:t>
      </w:r>
      <w:r>
        <w:rPr>
          <w:rFonts w:ascii="Book Antiqua" w:eastAsia="Calibri" w:hAnsi="Book Antiqua" w:cs="Times New Roman"/>
          <w:sz w:val="24"/>
        </w:rPr>
        <w:lastRenderedPageBreak/>
        <w:t xml:space="preserve">guided by the Holy Spirit to announce </w:t>
      </w:r>
      <w:r w:rsidR="008D78D9">
        <w:rPr>
          <w:rFonts w:ascii="Book Antiqua" w:eastAsia="Calibri" w:hAnsi="Book Antiqua" w:cs="Times New Roman"/>
          <w:sz w:val="24"/>
        </w:rPr>
        <w:t>One whom they</w:t>
      </w:r>
      <w:r>
        <w:rPr>
          <w:rFonts w:ascii="Book Antiqua" w:eastAsia="Calibri" w:hAnsi="Book Antiqua" w:cs="Times New Roman"/>
          <w:sz w:val="24"/>
        </w:rPr>
        <w:t xml:space="preserve"> had not yet seen.  The early preachers had the greater advantage of having seen </w:t>
      </w:r>
      <w:r w:rsidR="008D78D9">
        <w:rPr>
          <w:rFonts w:ascii="Book Antiqua" w:eastAsia="Calibri" w:hAnsi="Book Antiqua" w:cs="Times New Roman"/>
          <w:sz w:val="24"/>
        </w:rPr>
        <w:t>the Messiah.</w:t>
      </w:r>
      <w:r>
        <w:rPr>
          <w:rFonts w:ascii="Book Antiqua" w:eastAsia="Calibri" w:hAnsi="Book Antiqua" w:cs="Times New Roman"/>
          <w:sz w:val="24"/>
        </w:rPr>
        <w:t xml:space="preserve">  But </w:t>
      </w:r>
      <w:r w:rsidR="002732EE">
        <w:rPr>
          <w:rFonts w:ascii="Book Antiqua" w:eastAsia="Calibri" w:hAnsi="Book Antiqua" w:cs="Times New Roman"/>
          <w:sz w:val="24"/>
        </w:rPr>
        <w:t>every Christian since then enjoys an equal</w:t>
      </w:r>
      <w:r w:rsidR="001D1C82">
        <w:rPr>
          <w:rFonts w:ascii="Book Antiqua" w:eastAsia="Calibri" w:hAnsi="Book Antiqua" w:cs="Times New Roman"/>
          <w:sz w:val="24"/>
        </w:rPr>
        <w:t xml:space="preserve"> advantage</w:t>
      </w:r>
      <w:r w:rsidR="008D78D9">
        <w:rPr>
          <w:rFonts w:ascii="Book Antiqua" w:eastAsia="Calibri" w:hAnsi="Book Antiqua" w:cs="Times New Roman"/>
          <w:sz w:val="24"/>
        </w:rPr>
        <w:t>:</w:t>
      </w:r>
      <w:r>
        <w:rPr>
          <w:rFonts w:ascii="Book Antiqua" w:eastAsia="Calibri" w:hAnsi="Book Antiqua" w:cs="Times New Roman"/>
          <w:sz w:val="24"/>
        </w:rPr>
        <w:t xml:space="preserve"> the written Word</w:t>
      </w:r>
      <w:r w:rsidR="008D78D9">
        <w:rPr>
          <w:rFonts w:ascii="Book Antiqua" w:eastAsia="Calibri" w:hAnsi="Book Antiqua" w:cs="Times New Roman"/>
          <w:sz w:val="24"/>
        </w:rPr>
        <w:t xml:space="preserve"> of the Bible,</w:t>
      </w:r>
      <w:r>
        <w:rPr>
          <w:rFonts w:ascii="Book Antiqua" w:eastAsia="Calibri" w:hAnsi="Book Antiqua" w:cs="Times New Roman"/>
          <w:sz w:val="24"/>
        </w:rPr>
        <w:t xml:space="preserve"> </w:t>
      </w:r>
      <w:r w:rsidR="008D78D9">
        <w:rPr>
          <w:rFonts w:ascii="Book Antiqua" w:eastAsia="Calibri" w:hAnsi="Book Antiqua" w:cs="Times New Roman"/>
          <w:sz w:val="24"/>
        </w:rPr>
        <w:t>accompanied by the power of the Holy Spirit, in which we have direct access to Christ by faith.   Calvin called on all Christians to exercise the prophetic office by</w:t>
      </w:r>
      <w:r w:rsidR="002732EE">
        <w:rPr>
          <w:rFonts w:ascii="Book Antiqua" w:eastAsia="Calibri" w:hAnsi="Book Antiqua" w:cs="Times New Roman"/>
          <w:sz w:val="24"/>
        </w:rPr>
        <w:t xml:space="preserve"> employing theological judgment.  </w:t>
      </w:r>
      <w:r w:rsidR="008D78D9">
        <w:rPr>
          <w:rFonts w:ascii="Book Antiqua" w:eastAsia="Calibri" w:hAnsi="Book Antiqua" w:cs="Times New Roman"/>
          <w:sz w:val="24"/>
        </w:rPr>
        <w:t xml:space="preserve"> </w:t>
      </w:r>
      <w:r w:rsidR="002732EE">
        <w:rPr>
          <w:rFonts w:ascii="Book Antiqua" w:eastAsia="Calibri" w:hAnsi="Book Antiqua" w:cs="Times New Roman"/>
          <w:sz w:val="24"/>
        </w:rPr>
        <w:t>This is why the Ecclesiastical Ordinances of Geneva recommended</w:t>
      </w:r>
      <w:r w:rsidR="002732EE" w:rsidRPr="00176AE3">
        <w:rPr>
          <w:rFonts w:ascii="Book Antiqua" w:eastAsia="Calibri" w:hAnsi="Book Antiqua" w:cs="Times New Roman"/>
          <w:sz w:val="24"/>
        </w:rPr>
        <w:t xml:space="preserve"> </w:t>
      </w:r>
      <w:r w:rsidR="002732EE">
        <w:rPr>
          <w:rFonts w:ascii="Book Antiqua" w:eastAsia="Calibri" w:hAnsi="Book Antiqua" w:cs="Times New Roman"/>
          <w:sz w:val="24"/>
        </w:rPr>
        <w:t xml:space="preserve">that everyone, starting in childhood, should know the biblical languages of Hebrew and Greek, and that formal training in theology should begin at the </w:t>
      </w:r>
      <w:r w:rsidR="002732EE" w:rsidRPr="00176AE3">
        <w:rPr>
          <w:rFonts w:ascii="Book Antiqua" w:eastAsia="Calibri" w:hAnsi="Book Antiqua" w:cs="Times New Roman"/>
          <w:sz w:val="24"/>
        </w:rPr>
        <w:t xml:space="preserve">secondary level </w:t>
      </w:r>
      <w:r w:rsidR="002732EE">
        <w:rPr>
          <w:rFonts w:ascii="Book Antiqua" w:eastAsia="Calibri" w:hAnsi="Book Antiqua" w:cs="Times New Roman"/>
          <w:sz w:val="24"/>
        </w:rPr>
        <w:t>in the Geneva academy.</w:t>
      </w:r>
      <w:r w:rsidR="002732EE">
        <w:rPr>
          <w:rStyle w:val="FootnoteReference"/>
          <w:rFonts w:ascii="Book Antiqua" w:eastAsia="Calibri" w:hAnsi="Book Antiqua" w:cs="Times New Roman"/>
          <w:sz w:val="24"/>
        </w:rPr>
        <w:footnoteReference w:id="18"/>
      </w:r>
      <w:r w:rsidR="002732EE">
        <w:rPr>
          <w:rFonts w:ascii="Book Antiqua" w:eastAsia="Calibri" w:hAnsi="Book Antiqua" w:cs="Times New Roman"/>
          <w:sz w:val="24"/>
        </w:rPr>
        <w:t xml:space="preserve">  It was not necessary to wear a preacher’s robe to think theologically; what mattered was careful attention to Scripture in one’s personal study and during the preaching of the Word.</w:t>
      </w:r>
    </w:p>
    <w:p w14:paraId="1E518D41" w14:textId="6C1A718F" w:rsidR="007B5840" w:rsidRDefault="002732EE" w:rsidP="007B5840">
      <w:pPr>
        <w:spacing w:line="360" w:lineRule="auto"/>
        <w:ind w:firstLine="720"/>
        <w:rPr>
          <w:rFonts w:ascii="Book Antiqua" w:eastAsia="Calibri" w:hAnsi="Book Antiqua" w:cs="Times New Roman"/>
          <w:sz w:val="24"/>
        </w:rPr>
      </w:pPr>
      <w:r>
        <w:rPr>
          <w:rFonts w:ascii="Book Antiqua" w:eastAsia="Calibri" w:hAnsi="Book Antiqua" w:cs="Times New Roman"/>
          <w:sz w:val="24"/>
        </w:rPr>
        <w:t>If</w:t>
      </w:r>
      <w:r w:rsidR="008D78D9">
        <w:rPr>
          <w:rFonts w:ascii="Book Antiqua" w:eastAsia="Calibri" w:hAnsi="Book Antiqua" w:cs="Times New Roman"/>
          <w:sz w:val="24"/>
        </w:rPr>
        <w:t xml:space="preserve"> all Christians share the prophetic anointing with their Lord, it makes sense to ascribe to them the Spirit-led ability to form theological judgments.  It becomes their rightful job, informed by Scripture, to decide what the church should and should not believe. </w:t>
      </w:r>
      <w:r w:rsidR="007B5840">
        <w:rPr>
          <w:rFonts w:ascii="Book Antiqua" w:eastAsia="Calibri" w:hAnsi="Book Antiqua" w:cs="Times New Roman"/>
          <w:sz w:val="24"/>
        </w:rPr>
        <w:t xml:space="preserve"> </w:t>
      </w:r>
      <w:r w:rsidR="0010268E">
        <w:rPr>
          <w:rFonts w:ascii="Book Antiqua" w:eastAsia="Calibri" w:hAnsi="Book Antiqua" w:cs="Times New Roman"/>
          <w:sz w:val="24"/>
        </w:rPr>
        <w:t xml:space="preserve"> Calvin believed that this was the practice of the early church before a later clericalism took hold.  He quotes Ambrose of Milan (4</w:t>
      </w:r>
      <w:r w:rsidR="0010268E" w:rsidRPr="0010268E">
        <w:rPr>
          <w:rFonts w:ascii="Book Antiqua" w:eastAsia="Calibri" w:hAnsi="Book Antiqua" w:cs="Times New Roman"/>
          <w:sz w:val="24"/>
          <w:vertAlign w:val="superscript"/>
        </w:rPr>
        <w:t>th</w:t>
      </w:r>
      <w:r w:rsidR="0010268E">
        <w:rPr>
          <w:rFonts w:ascii="Book Antiqua" w:eastAsia="Calibri" w:hAnsi="Book Antiqua" w:cs="Times New Roman"/>
          <w:sz w:val="24"/>
        </w:rPr>
        <w:t xml:space="preserve"> century): </w:t>
      </w:r>
      <w:r w:rsidR="0010268E" w:rsidRPr="0010268E">
        <w:rPr>
          <w:rFonts w:ascii="Book Antiqua" w:eastAsia="Calibri" w:hAnsi="Book Antiqua" w:cs="Times New Roman"/>
          <w:sz w:val="24"/>
        </w:rPr>
        <w:t>“The old synagogue, and afterward the church, had elders, without whose counsel nothing was done. It has fallen out of use, by what negligence I do not know, unless perhaps through the sloth, or rather, pride, of the learned, wishing to appear to be important by themselves alone.”</w:t>
      </w:r>
      <w:r w:rsidR="00B42C53">
        <w:rPr>
          <w:rStyle w:val="FootnoteReference"/>
          <w:rFonts w:ascii="Book Antiqua" w:eastAsia="Calibri" w:hAnsi="Book Antiqua" w:cs="Times New Roman"/>
          <w:sz w:val="24"/>
        </w:rPr>
        <w:footnoteReference w:id="19"/>
      </w:r>
      <w:r w:rsidR="0010268E">
        <w:rPr>
          <w:rFonts w:ascii="Book Antiqua" w:eastAsia="Calibri" w:hAnsi="Book Antiqua" w:cs="Times New Roman"/>
          <w:sz w:val="24"/>
        </w:rPr>
        <w:t xml:space="preserve">  </w:t>
      </w:r>
      <w:r w:rsidR="00522D9E">
        <w:rPr>
          <w:rFonts w:ascii="Book Antiqua" w:eastAsia="Calibri" w:hAnsi="Book Antiqua" w:cs="Times New Roman"/>
          <w:sz w:val="24"/>
        </w:rPr>
        <w:t xml:space="preserve">Calvin </w:t>
      </w:r>
      <w:r w:rsidR="00BA28FA">
        <w:rPr>
          <w:rFonts w:ascii="Book Antiqua" w:eastAsia="Calibri" w:hAnsi="Book Antiqua" w:cs="Times New Roman"/>
          <w:sz w:val="24"/>
        </w:rPr>
        <w:t xml:space="preserve">also </w:t>
      </w:r>
      <w:r w:rsidR="00522D9E">
        <w:rPr>
          <w:rFonts w:ascii="Book Antiqua" w:eastAsia="Calibri" w:hAnsi="Book Antiqua" w:cs="Times New Roman"/>
          <w:sz w:val="24"/>
        </w:rPr>
        <w:t>ascribe</w:t>
      </w:r>
      <w:r w:rsidR="00BA28FA">
        <w:rPr>
          <w:rFonts w:ascii="Book Antiqua" w:eastAsia="Calibri" w:hAnsi="Book Antiqua" w:cs="Times New Roman"/>
          <w:sz w:val="24"/>
        </w:rPr>
        <w:t>d</w:t>
      </w:r>
      <w:r w:rsidR="00522D9E">
        <w:rPr>
          <w:rFonts w:ascii="Book Antiqua" w:eastAsia="Calibri" w:hAnsi="Book Antiqua" w:cs="Times New Roman"/>
          <w:sz w:val="24"/>
        </w:rPr>
        <w:t xml:space="preserve"> tasks to lay people that they </w:t>
      </w:r>
      <w:r w:rsidR="00BA28FA">
        <w:rPr>
          <w:rFonts w:ascii="Book Antiqua" w:eastAsia="Calibri" w:hAnsi="Book Antiqua" w:cs="Times New Roman"/>
          <w:sz w:val="24"/>
        </w:rPr>
        <w:t>could not</w:t>
      </w:r>
      <w:r w:rsidR="00522D9E">
        <w:rPr>
          <w:rFonts w:ascii="Book Antiqua" w:eastAsia="Calibri" w:hAnsi="Book Antiqua" w:cs="Times New Roman"/>
          <w:sz w:val="24"/>
        </w:rPr>
        <w:t xml:space="preserve"> fulfill without </w:t>
      </w:r>
      <w:r w:rsidR="00522D9E" w:rsidRPr="00DA26F4">
        <w:rPr>
          <w:rFonts w:ascii="Book Antiqua" w:eastAsia="Calibri" w:hAnsi="Book Antiqua" w:cs="Times New Roman"/>
          <w:sz w:val="24"/>
        </w:rPr>
        <w:t>exercising and expressing theological judgment</w:t>
      </w:r>
      <w:r w:rsidR="00522D9E">
        <w:rPr>
          <w:rFonts w:ascii="Book Antiqua" w:eastAsia="Calibri" w:hAnsi="Book Antiqua" w:cs="Times New Roman"/>
          <w:sz w:val="24"/>
        </w:rPr>
        <w:t xml:space="preserve">. </w:t>
      </w:r>
      <w:r w:rsidR="00BA28FA">
        <w:rPr>
          <w:rFonts w:ascii="Book Antiqua" w:eastAsia="Calibri" w:hAnsi="Book Antiqua" w:cs="Times New Roman"/>
          <w:sz w:val="24"/>
        </w:rPr>
        <w:t xml:space="preserve">He called on </w:t>
      </w:r>
      <w:r w:rsidR="007B5840">
        <w:rPr>
          <w:rFonts w:ascii="Book Antiqua" w:eastAsia="Calibri" w:hAnsi="Book Antiqua" w:cs="Times New Roman"/>
          <w:sz w:val="24"/>
        </w:rPr>
        <w:t xml:space="preserve">“the church” </w:t>
      </w:r>
      <w:r w:rsidR="003F320C">
        <w:rPr>
          <w:rFonts w:ascii="Book Antiqua" w:eastAsia="Calibri" w:hAnsi="Book Antiqua" w:cs="Times New Roman"/>
          <w:sz w:val="24"/>
        </w:rPr>
        <w:t>(</w:t>
      </w:r>
      <w:r w:rsidR="007B5840">
        <w:rPr>
          <w:rFonts w:ascii="Book Antiqua" w:eastAsia="Calibri" w:hAnsi="Book Antiqua" w:cs="Times New Roman"/>
          <w:sz w:val="24"/>
        </w:rPr>
        <w:t>as opposed to “the clergy”)</w:t>
      </w:r>
      <w:r w:rsidR="00AF6DB9">
        <w:rPr>
          <w:rFonts w:ascii="Book Antiqua" w:eastAsia="Calibri" w:hAnsi="Book Antiqua" w:cs="Times New Roman"/>
          <w:sz w:val="24"/>
        </w:rPr>
        <w:t xml:space="preserve"> </w:t>
      </w:r>
      <w:r w:rsidR="00BA28FA">
        <w:rPr>
          <w:rFonts w:ascii="Book Antiqua" w:eastAsia="Calibri" w:hAnsi="Book Antiqua" w:cs="Times New Roman"/>
          <w:sz w:val="24"/>
        </w:rPr>
        <w:t>to select their own pastors and other leaders.</w:t>
      </w:r>
      <w:r w:rsidR="00BA28FA">
        <w:rPr>
          <w:rStyle w:val="FootnoteReference"/>
          <w:rFonts w:ascii="Book Antiqua" w:eastAsia="Calibri" w:hAnsi="Book Antiqua" w:cs="Times New Roman"/>
          <w:sz w:val="24"/>
        </w:rPr>
        <w:footnoteReference w:id="20"/>
      </w:r>
      <w:r w:rsidR="00BA28FA">
        <w:rPr>
          <w:rFonts w:ascii="Book Antiqua" w:eastAsia="Calibri" w:hAnsi="Book Antiqua" w:cs="Times New Roman"/>
          <w:sz w:val="24"/>
        </w:rPr>
        <w:t xml:space="preserve">  He </w:t>
      </w:r>
      <w:r w:rsidR="00B42C53">
        <w:rPr>
          <w:rFonts w:ascii="Book Antiqua" w:eastAsia="Calibri" w:hAnsi="Book Antiqua" w:cs="Times New Roman"/>
          <w:sz w:val="24"/>
        </w:rPr>
        <w:t>urged</w:t>
      </w:r>
      <w:r w:rsidR="00BA28FA">
        <w:rPr>
          <w:rFonts w:ascii="Book Antiqua" w:eastAsia="Calibri" w:hAnsi="Book Antiqua" w:cs="Times New Roman"/>
          <w:sz w:val="24"/>
        </w:rPr>
        <w:t xml:space="preserve"> them to evaluate the doctrinal positions of those leaders, insisting that “</w:t>
      </w:r>
      <w:r w:rsidR="00BA28FA" w:rsidRPr="00BA28FA">
        <w:rPr>
          <w:rFonts w:ascii="Book Antiqua" w:eastAsia="Calibri" w:hAnsi="Book Antiqua" w:cs="Times New Roman"/>
          <w:sz w:val="24"/>
        </w:rPr>
        <w:t>if anyone disturb the church with a strange doctrine</w:t>
      </w:r>
      <w:r w:rsidR="00BA28FA">
        <w:rPr>
          <w:rFonts w:ascii="Book Antiqua" w:eastAsia="Calibri" w:hAnsi="Book Antiqua" w:cs="Times New Roman"/>
          <w:sz w:val="24"/>
        </w:rPr>
        <w:t xml:space="preserve"> . . . the</w:t>
      </w:r>
      <w:r w:rsidR="00BA28FA" w:rsidRPr="00BA28FA">
        <w:rPr>
          <w:rFonts w:ascii="Book Antiqua" w:eastAsia="Calibri" w:hAnsi="Book Antiqua" w:cs="Times New Roman"/>
          <w:sz w:val="24"/>
        </w:rPr>
        <w:t xml:space="preserve"> churches should first assemble, examine the question put, and finally, after due discussion, bring forth a definition derived from </w:t>
      </w:r>
      <w:r w:rsidR="00BA28FA" w:rsidRPr="00BA28FA">
        <w:rPr>
          <w:rFonts w:ascii="Book Antiqua" w:eastAsia="Calibri" w:hAnsi="Book Antiqua" w:cs="Times New Roman"/>
          <w:sz w:val="24"/>
        </w:rPr>
        <w:lastRenderedPageBreak/>
        <w:t>Scripture which would remove all doubt from the people and stop the mouths of wicked and greedy men from daring to go any farther.</w:t>
      </w:r>
      <w:r w:rsidR="00BA28FA">
        <w:rPr>
          <w:rFonts w:ascii="Book Antiqua" w:eastAsia="Calibri" w:hAnsi="Book Antiqua" w:cs="Times New Roman"/>
          <w:sz w:val="24"/>
        </w:rPr>
        <w:t>”</w:t>
      </w:r>
      <w:r w:rsidR="00BA28FA">
        <w:rPr>
          <w:rStyle w:val="FootnoteReference"/>
          <w:rFonts w:ascii="Book Antiqua" w:eastAsia="Calibri" w:hAnsi="Book Antiqua" w:cs="Times New Roman"/>
          <w:sz w:val="24"/>
        </w:rPr>
        <w:footnoteReference w:id="21"/>
      </w:r>
      <w:r w:rsidR="00BA28FA" w:rsidRPr="00BA28FA">
        <w:rPr>
          <w:rFonts w:ascii="Book Antiqua" w:eastAsia="Calibri" w:hAnsi="Book Antiqua" w:cs="Times New Roman"/>
          <w:sz w:val="24"/>
        </w:rPr>
        <w:t xml:space="preserve"> </w:t>
      </w:r>
      <w:r w:rsidR="00BA28FA">
        <w:rPr>
          <w:rFonts w:ascii="Book Antiqua" w:eastAsia="Calibri" w:hAnsi="Book Antiqua" w:cs="Times New Roman"/>
          <w:sz w:val="24"/>
        </w:rPr>
        <w:t xml:space="preserve"> </w:t>
      </w:r>
      <w:r w:rsidR="00B42C53">
        <w:rPr>
          <w:rFonts w:ascii="Book Antiqua" w:eastAsia="Calibri" w:hAnsi="Book Antiqua" w:cs="Times New Roman"/>
          <w:sz w:val="24"/>
        </w:rPr>
        <w:t>Calvin even taught</w:t>
      </w:r>
      <w:r w:rsidR="00BA28FA">
        <w:rPr>
          <w:rFonts w:ascii="Book Antiqua" w:eastAsia="Calibri" w:hAnsi="Book Antiqua" w:cs="Times New Roman"/>
          <w:sz w:val="24"/>
        </w:rPr>
        <w:t xml:space="preserve"> that lay people were anointed to participate in the discipline of those clergy who </w:t>
      </w:r>
      <w:r w:rsidR="007B5840">
        <w:rPr>
          <w:rFonts w:ascii="Book Antiqua" w:eastAsia="Calibri" w:hAnsi="Book Antiqua" w:cs="Times New Roman"/>
          <w:sz w:val="24"/>
        </w:rPr>
        <w:t>were suspected of errors in doctrine or in life.  “T</w:t>
      </w:r>
      <w:r w:rsidR="00522D9E" w:rsidRPr="00881F0C">
        <w:rPr>
          <w:rFonts w:ascii="Book Antiqua" w:eastAsia="Calibri" w:hAnsi="Book Antiqua" w:cs="Times New Roman"/>
          <w:sz w:val="24"/>
        </w:rPr>
        <w:t>hat no one may stubbornly despise the judgment of the church, or think it immaterial that he has been condemned by the vote of the believers, the Lord testifies that such judgment by believers is nothing but the proclamation of his own sentence, and that whatever they have done on earth is ratified in heaven</w:t>
      </w:r>
      <w:r w:rsidR="007B5840">
        <w:rPr>
          <w:rFonts w:ascii="Book Antiqua" w:eastAsia="Calibri" w:hAnsi="Book Antiqua" w:cs="Times New Roman"/>
          <w:sz w:val="24"/>
        </w:rPr>
        <w:t>.</w:t>
      </w:r>
      <w:r w:rsidR="00522D9E">
        <w:rPr>
          <w:rFonts w:ascii="Book Antiqua" w:eastAsia="Calibri" w:hAnsi="Book Antiqua" w:cs="Times New Roman"/>
          <w:sz w:val="24"/>
        </w:rPr>
        <w:t xml:space="preserve">” </w:t>
      </w:r>
      <w:r w:rsidR="007B5840">
        <w:rPr>
          <w:rStyle w:val="FootnoteReference"/>
          <w:rFonts w:ascii="Book Antiqua" w:eastAsia="Calibri" w:hAnsi="Book Antiqua" w:cs="Times New Roman"/>
          <w:sz w:val="24"/>
        </w:rPr>
        <w:footnoteReference w:id="22"/>
      </w:r>
    </w:p>
    <w:p w14:paraId="2F81DA2C" w14:textId="1DA57E94" w:rsidR="00882D4A" w:rsidRDefault="00522D9E" w:rsidP="00882D4A">
      <w:pPr>
        <w:spacing w:line="360" w:lineRule="auto"/>
        <w:ind w:firstLine="720"/>
        <w:rPr>
          <w:rFonts w:ascii="Book Antiqua" w:eastAsia="Calibri" w:hAnsi="Book Antiqua" w:cs="Times New Roman"/>
          <w:sz w:val="24"/>
        </w:rPr>
      </w:pPr>
      <w:r>
        <w:rPr>
          <w:rFonts w:ascii="Book Antiqua" w:eastAsia="Calibri" w:hAnsi="Book Antiqua" w:cs="Times New Roman"/>
          <w:sz w:val="24"/>
        </w:rPr>
        <w:t>If you are</w:t>
      </w:r>
      <w:r w:rsidR="007B5840">
        <w:rPr>
          <w:rFonts w:ascii="Book Antiqua" w:eastAsia="Calibri" w:hAnsi="Book Antiqua" w:cs="Times New Roman"/>
          <w:sz w:val="24"/>
        </w:rPr>
        <w:t xml:space="preserve"> </w:t>
      </w:r>
      <w:r>
        <w:rPr>
          <w:rFonts w:ascii="Book Antiqua" w:eastAsia="Calibri" w:hAnsi="Book Antiqua" w:cs="Times New Roman"/>
          <w:sz w:val="24"/>
        </w:rPr>
        <w:t xml:space="preserve">not </w:t>
      </w:r>
      <w:r w:rsidR="007B5840">
        <w:rPr>
          <w:rFonts w:ascii="Book Antiqua" w:eastAsia="Calibri" w:hAnsi="Book Antiqua" w:cs="Times New Roman"/>
          <w:sz w:val="24"/>
        </w:rPr>
        <w:t xml:space="preserve">a </w:t>
      </w:r>
      <w:r>
        <w:rPr>
          <w:rFonts w:ascii="Book Antiqua" w:eastAsia="Calibri" w:hAnsi="Book Antiqua" w:cs="Times New Roman"/>
          <w:sz w:val="24"/>
        </w:rPr>
        <w:t>Reformed</w:t>
      </w:r>
      <w:r w:rsidR="007B5840">
        <w:rPr>
          <w:rFonts w:ascii="Book Antiqua" w:eastAsia="Calibri" w:hAnsi="Book Antiqua" w:cs="Times New Roman"/>
          <w:sz w:val="24"/>
        </w:rPr>
        <w:t xml:space="preserve"> Christian, </w:t>
      </w:r>
      <w:r>
        <w:rPr>
          <w:rFonts w:ascii="Book Antiqua" w:eastAsia="Calibri" w:hAnsi="Book Antiqua" w:cs="Times New Roman"/>
          <w:sz w:val="24"/>
        </w:rPr>
        <w:t xml:space="preserve">you might be dazzled by the respect that is accorded to lay people </w:t>
      </w:r>
      <w:r w:rsidRPr="00DA26F4">
        <w:rPr>
          <w:rFonts w:ascii="Book Antiqua" w:eastAsia="Calibri" w:hAnsi="Book Antiqua" w:cs="Times New Roman"/>
          <w:sz w:val="24"/>
        </w:rPr>
        <w:t>as theologians</w:t>
      </w:r>
      <w:r>
        <w:rPr>
          <w:rFonts w:ascii="Book Antiqua" w:eastAsia="Calibri" w:hAnsi="Book Antiqua" w:cs="Times New Roman"/>
          <w:sz w:val="24"/>
        </w:rPr>
        <w:t xml:space="preserve"> in </w:t>
      </w:r>
      <w:r w:rsidR="00882D4A">
        <w:rPr>
          <w:rFonts w:ascii="Book Antiqua" w:eastAsia="Calibri" w:hAnsi="Book Antiqua" w:cs="Times New Roman"/>
          <w:sz w:val="24"/>
        </w:rPr>
        <w:t>this brief sketch of Calvin’s thinking.  You might conclude</w:t>
      </w:r>
      <w:r>
        <w:rPr>
          <w:rFonts w:ascii="Book Antiqua" w:eastAsia="Calibri" w:hAnsi="Book Antiqua" w:cs="Times New Roman"/>
          <w:sz w:val="24"/>
        </w:rPr>
        <w:t xml:space="preserve"> that there is no obstacle in my tradition to handing </w:t>
      </w:r>
      <w:r w:rsidR="00586D76">
        <w:rPr>
          <w:rFonts w:ascii="Book Antiqua" w:eastAsia="Calibri" w:hAnsi="Book Antiqua" w:cs="Times New Roman"/>
          <w:sz w:val="24"/>
        </w:rPr>
        <w:t>ecumenical dialogue about doctrines</w:t>
      </w:r>
      <w:r>
        <w:rPr>
          <w:rFonts w:ascii="Book Antiqua" w:eastAsia="Calibri" w:hAnsi="Book Antiqua" w:cs="Times New Roman"/>
          <w:sz w:val="24"/>
        </w:rPr>
        <w:t xml:space="preserve"> over to </w:t>
      </w:r>
      <w:r w:rsidR="00882D4A">
        <w:rPr>
          <w:rFonts w:ascii="Book Antiqua" w:eastAsia="Calibri" w:hAnsi="Book Antiqua" w:cs="Times New Roman"/>
          <w:sz w:val="24"/>
        </w:rPr>
        <w:t xml:space="preserve">“the church,” to those who are not clergy.   </w:t>
      </w:r>
      <w:r w:rsidR="00586D76">
        <w:rPr>
          <w:rFonts w:ascii="Book Antiqua" w:eastAsia="Calibri" w:hAnsi="Book Antiqua" w:cs="Times New Roman"/>
          <w:sz w:val="24"/>
        </w:rPr>
        <w:t xml:space="preserve"> Yet the matter is not so </w:t>
      </w:r>
      <w:r w:rsidR="000D7290">
        <w:rPr>
          <w:rFonts w:ascii="Book Antiqua" w:eastAsia="Calibri" w:hAnsi="Book Antiqua" w:cs="Times New Roman"/>
          <w:sz w:val="24"/>
        </w:rPr>
        <w:t>straightforward</w:t>
      </w:r>
      <w:r w:rsidR="00586D76">
        <w:rPr>
          <w:rFonts w:ascii="Book Antiqua" w:eastAsia="Calibri" w:hAnsi="Book Antiqua" w:cs="Times New Roman"/>
          <w:sz w:val="24"/>
        </w:rPr>
        <w:t xml:space="preserve">.  We will see that there are three elements </w:t>
      </w:r>
      <w:r w:rsidR="00A86321">
        <w:rPr>
          <w:rFonts w:ascii="Book Antiqua" w:eastAsia="Calibri" w:hAnsi="Book Antiqua" w:cs="Times New Roman"/>
          <w:sz w:val="24"/>
        </w:rPr>
        <w:t>required</w:t>
      </w:r>
      <w:r w:rsidR="00586D76">
        <w:rPr>
          <w:rFonts w:ascii="Book Antiqua" w:eastAsia="Calibri" w:hAnsi="Book Antiqua" w:cs="Times New Roman"/>
          <w:sz w:val="24"/>
        </w:rPr>
        <w:t xml:space="preserve"> to support the practice of local ecumenical dialogue in any denominational setting; these elements are </w:t>
      </w:r>
      <w:r w:rsidR="00586D76" w:rsidRPr="000D7290">
        <w:rPr>
          <w:rFonts w:ascii="Book Antiqua" w:eastAsia="Calibri" w:hAnsi="Book Antiqua" w:cs="Times New Roman"/>
          <w:b/>
          <w:i/>
          <w:sz w:val="24"/>
        </w:rPr>
        <w:t>education, method, and legitimation</w:t>
      </w:r>
      <w:r w:rsidR="00586D76">
        <w:rPr>
          <w:rFonts w:ascii="Book Antiqua" w:eastAsia="Calibri" w:hAnsi="Book Antiqua" w:cs="Times New Roman"/>
          <w:sz w:val="24"/>
        </w:rPr>
        <w:t xml:space="preserve">.  </w:t>
      </w:r>
      <w:r w:rsidR="00A86321">
        <w:rPr>
          <w:rFonts w:ascii="Book Antiqua" w:eastAsia="Calibri" w:hAnsi="Book Antiqua" w:cs="Times New Roman"/>
          <w:sz w:val="24"/>
        </w:rPr>
        <w:t xml:space="preserve">Calvin’s </w:t>
      </w:r>
      <w:r w:rsidR="00D0579E">
        <w:rPr>
          <w:rFonts w:ascii="Book Antiqua" w:eastAsia="Calibri" w:hAnsi="Book Antiqua" w:cs="Times New Roman"/>
          <w:sz w:val="24"/>
        </w:rPr>
        <w:t>confidence in</w:t>
      </w:r>
      <w:r w:rsidR="00A86321">
        <w:rPr>
          <w:rFonts w:ascii="Book Antiqua" w:eastAsia="Calibri" w:hAnsi="Book Antiqua" w:cs="Times New Roman"/>
          <w:sz w:val="24"/>
        </w:rPr>
        <w:t xml:space="preserve"> an educated </w:t>
      </w:r>
      <w:r w:rsidR="00D0579E">
        <w:rPr>
          <w:rFonts w:ascii="Book Antiqua" w:eastAsia="Calibri" w:hAnsi="Book Antiqua" w:cs="Times New Roman"/>
          <w:sz w:val="24"/>
        </w:rPr>
        <w:t>laity to make wise judgments based on Scripture</w:t>
      </w:r>
      <w:r w:rsidR="00A86321">
        <w:rPr>
          <w:rFonts w:ascii="Book Antiqua" w:eastAsia="Calibri" w:hAnsi="Book Antiqua" w:cs="Times New Roman"/>
          <w:sz w:val="24"/>
        </w:rPr>
        <w:t xml:space="preserve"> has not been systematically </w:t>
      </w:r>
      <w:r w:rsidR="00D0579E">
        <w:rPr>
          <w:rFonts w:ascii="Book Antiqua" w:eastAsia="Calibri" w:hAnsi="Book Antiqua" w:cs="Times New Roman"/>
          <w:sz w:val="24"/>
        </w:rPr>
        <w:t>replicated</w:t>
      </w:r>
      <w:r w:rsidR="00A86321">
        <w:rPr>
          <w:rFonts w:ascii="Book Antiqua" w:eastAsia="Calibri" w:hAnsi="Book Antiqua" w:cs="Times New Roman"/>
          <w:sz w:val="24"/>
        </w:rPr>
        <w:t xml:space="preserve"> in the churches that bear his name and influence.  However, a lack of theological education</w:t>
      </w:r>
      <w:r w:rsidR="00D0579E">
        <w:rPr>
          <w:rFonts w:ascii="Book Antiqua" w:eastAsia="Calibri" w:hAnsi="Book Antiqua" w:cs="Times New Roman"/>
          <w:sz w:val="24"/>
        </w:rPr>
        <w:t xml:space="preserve">, also called catechesis, </w:t>
      </w:r>
      <w:r w:rsidR="00A86321">
        <w:rPr>
          <w:rFonts w:ascii="Book Antiqua" w:eastAsia="Calibri" w:hAnsi="Book Antiqua" w:cs="Times New Roman"/>
          <w:sz w:val="24"/>
        </w:rPr>
        <w:t xml:space="preserve">is chronic in </w:t>
      </w:r>
      <w:r w:rsidR="00D0579E">
        <w:rPr>
          <w:rFonts w:ascii="Book Antiqua" w:eastAsia="Calibri" w:hAnsi="Book Antiqua" w:cs="Times New Roman"/>
          <w:sz w:val="24"/>
        </w:rPr>
        <w:t xml:space="preserve">contemporary </w:t>
      </w:r>
      <w:r w:rsidR="00A86321">
        <w:rPr>
          <w:rFonts w:ascii="Book Antiqua" w:eastAsia="Calibri" w:hAnsi="Book Antiqua" w:cs="Times New Roman"/>
          <w:sz w:val="24"/>
        </w:rPr>
        <w:t>Roman Catholic churches</w:t>
      </w:r>
      <w:r w:rsidR="00586D76">
        <w:rPr>
          <w:rFonts w:ascii="Book Antiqua" w:eastAsia="Calibri" w:hAnsi="Book Antiqua" w:cs="Times New Roman"/>
          <w:sz w:val="24"/>
        </w:rPr>
        <w:t xml:space="preserve"> </w:t>
      </w:r>
      <w:r w:rsidR="00D0579E">
        <w:rPr>
          <w:rFonts w:ascii="Book Antiqua" w:eastAsia="Calibri" w:hAnsi="Book Antiqua" w:cs="Times New Roman"/>
          <w:sz w:val="24"/>
        </w:rPr>
        <w:t>as well</w:t>
      </w:r>
      <w:r w:rsidR="00A86321">
        <w:rPr>
          <w:rFonts w:ascii="Book Antiqua" w:eastAsia="Calibri" w:hAnsi="Book Antiqua" w:cs="Times New Roman"/>
          <w:sz w:val="24"/>
        </w:rPr>
        <w:t xml:space="preserve">.  We will return to the problem of education after laying out a corresponding sketch </w:t>
      </w:r>
      <w:r w:rsidR="00D0579E">
        <w:rPr>
          <w:rFonts w:ascii="Book Antiqua" w:eastAsia="Calibri" w:hAnsi="Book Antiqua" w:cs="Times New Roman"/>
          <w:sz w:val="24"/>
        </w:rPr>
        <w:t>of recent Roman Catholic teaching on lay people as stewards of doctrine.</w:t>
      </w:r>
    </w:p>
    <w:p w14:paraId="40D663C5" w14:textId="4CF69DEC" w:rsidR="00A86321" w:rsidRPr="00DB46CC" w:rsidRDefault="00A86321" w:rsidP="005E0240">
      <w:pPr>
        <w:pStyle w:val="Heading2"/>
        <w:rPr>
          <w:rFonts w:ascii="Book Antiqua" w:eastAsia="Calibri" w:hAnsi="Book Antiqua"/>
          <w:color w:val="auto"/>
          <w:sz w:val="28"/>
        </w:rPr>
      </w:pPr>
      <w:bookmarkStart w:id="9" w:name="_Toc523909728"/>
      <w:r w:rsidRPr="00DB46CC">
        <w:rPr>
          <w:rFonts w:ascii="Book Antiqua" w:eastAsia="Calibri" w:hAnsi="Book Antiqua"/>
          <w:color w:val="auto"/>
          <w:sz w:val="28"/>
        </w:rPr>
        <w:t>Lay People and Doctrine in the Roman Catholic Church</w:t>
      </w:r>
      <w:bookmarkEnd w:id="9"/>
    </w:p>
    <w:p w14:paraId="20A73857" w14:textId="77777777" w:rsidR="00882D4A" w:rsidRDefault="00882D4A" w:rsidP="00882D4A">
      <w:pPr>
        <w:spacing w:line="360" w:lineRule="auto"/>
        <w:ind w:firstLine="720"/>
        <w:rPr>
          <w:rFonts w:ascii="Book Antiqua" w:eastAsia="Calibri" w:hAnsi="Book Antiqua" w:cs="Times New Roman"/>
          <w:sz w:val="24"/>
        </w:rPr>
      </w:pPr>
    </w:p>
    <w:p w14:paraId="02F71C43" w14:textId="4957A9B8" w:rsidR="00E0028A" w:rsidRDefault="00370CA9" w:rsidP="00EB577D">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Catholic readers may have been struck by the familiarity of </w:t>
      </w:r>
      <w:r w:rsidR="00BA66D5">
        <w:rPr>
          <w:rFonts w:ascii="Book Antiqua" w:eastAsia="Calibri" w:hAnsi="Book Antiqua" w:cs="Times New Roman"/>
          <w:sz w:val="24"/>
        </w:rPr>
        <w:t>the three</w:t>
      </w:r>
      <w:r w:rsidR="001127AB">
        <w:rPr>
          <w:rFonts w:ascii="Book Antiqua" w:eastAsia="Calibri" w:hAnsi="Book Antiqua" w:cs="Times New Roman"/>
          <w:sz w:val="24"/>
        </w:rPr>
        <w:t xml:space="preserve">fold office of </w:t>
      </w:r>
      <w:r w:rsidR="00BA66D5">
        <w:rPr>
          <w:rFonts w:ascii="Book Antiqua" w:eastAsia="Calibri" w:hAnsi="Book Antiqua" w:cs="Times New Roman"/>
          <w:sz w:val="24"/>
        </w:rPr>
        <w:t xml:space="preserve">Jesus Christ as </w:t>
      </w:r>
      <w:r w:rsidR="001127AB">
        <w:rPr>
          <w:rFonts w:ascii="Book Antiqua" w:eastAsia="Calibri" w:hAnsi="Book Antiqua" w:cs="Times New Roman"/>
          <w:sz w:val="24"/>
        </w:rPr>
        <w:t>P</w:t>
      </w:r>
      <w:r w:rsidR="00BA66D5">
        <w:rPr>
          <w:rFonts w:ascii="Book Antiqua" w:eastAsia="Calibri" w:hAnsi="Book Antiqua" w:cs="Times New Roman"/>
          <w:sz w:val="24"/>
        </w:rPr>
        <w:t xml:space="preserve">rophet, </w:t>
      </w:r>
      <w:r w:rsidR="001127AB">
        <w:rPr>
          <w:rFonts w:ascii="Book Antiqua" w:eastAsia="Calibri" w:hAnsi="Book Antiqua" w:cs="Times New Roman"/>
          <w:sz w:val="24"/>
        </w:rPr>
        <w:t>P</w:t>
      </w:r>
      <w:r w:rsidR="00BA66D5">
        <w:rPr>
          <w:rFonts w:ascii="Book Antiqua" w:eastAsia="Calibri" w:hAnsi="Book Antiqua" w:cs="Times New Roman"/>
          <w:sz w:val="24"/>
        </w:rPr>
        <w:t xml:space="preserve">riest, </w:t>
      </w:r>
      <w:r w:rsidR="0039136A">
        <w:rPr>
          <w:rFonts w:ascii="Book Antiqua" w:eastAsia="Calibri" w:hAnsi="Book Antiqua" w:cs="Times New Roman"/>
          <w:sz w:val="24"/>
        </w:rPr>
        <w:t xml:space="preserve">and </w:t>
      </w:r>
      <w:r w:rsidR="001127AB">
        <w:rPr>
          <w:rFonts w:ascii="Book Antiqua" w:eastAsia="Calibri" w:hAnsi="Book Antiqua" w:cs="Times New Roman"/>
          <w:sz w:val="24"/>
        </w:rPr>
        <w:t>K</w:t>
      </w:r>
      <w:r w:rsidR="00BA66D5">
        <w:rPr>
          <w:rFonts w:ascii="Book Antiqua" w:eastAsia="Calibri" w:hAnsi="Book Antiqua" w:cs="Times New Roman"/>
          <w:sz w:val="24"/>
        </w:rPr>
        <w:t xml:space="preserve">ing.   </w:t>
      </w:r>
      <w:r w:rsidR="001127AB">
        <w:rPr>
          <w:rFonts w:ascii="Book Antiqua" w:eastAsia="Calibri" w:hAnsi="Book Antiqua" w:cs="Times New Roman"/>
          <w:sz w:val="24"/>
        </w:rPr>
        <w:t xml:space="preserve">The image </w:t>
      </w:r>
      <w:r w:rsidR="00BA66D5">
        <w:rPr>
          <w:rFonts w:ascii="Book Antiqua" w:eastAsia="Calibri" w:hAnsi="Book Antiqua" w:cs="Times New Roman"/>
          <w:sz w:val="24"/>
        </w:rPr>
        <w:t>did not originate with Calvin and ha</w:t>
      </w:r>
      <w:r w:rsidR="001127AB">
        <w:rPr>
          <w:rFonts w:ascii="Book Antiqua" w:eastAsia="Calibri" w:hAnsi="Book Antiqua" w:cs="Times New Roman"/>
          <w:sz w:val="24"/>
        </w:rPr>
        <w:t>s</w:t>
      </w:r>
      <w:r w:rsidR="00BA66D5">
        <w:rPr>
          <w:rFonts w:ascii="Book Antiqua" w:eastAsia="Calibri" w:hAnsi="Book Antiqua" w:cs="Times New Roman"/>
          <w:sz w:val="24"/>
        </w:rPr>
        <w:t xml:space="preserve"> a long history of admirers, which </w:t>
      </w:r>
      <w:r w:rsidR="00087A28">
        <w:rPr>
          <w:rFonts w:ascii="Book Antiqua" w:eastAsia="Calibri" w:hAnsi="Book Antiqua" w:cs="Times New Roman"/>
          <w:sz w:val="24"/>
        </w:rPr>
        <w:t>came to include</w:t>
      </w:r>
      <w:r w:rsidR="00BA66D5">
        <w:rPr>
          <w:rFonts w:ascii="Book Antiqua" w:eastAsia="Calibri" w:hAnsi="Book Antiqua" w:cs="Times New Roman"/>
          <w:sz w:val="24"/>
        </w:rPr>
        <w:t xml:space="preserve"> the </w:t>
      </w:r>
      <w:r w:rsidR="003D6B73">
        <w:rPr>
          <w:rFonts w:ascii="Book Antiqua" w:eastAsia="Calibri" w:hAnsi="Book Antiqua" w:cs="Times New Roman"/>
          <w:sz w:val="24"/>
        </w:rPr>
        <w:t>fathers of the</w:t>
      </w:r>
      <w:r w:rsidR="00BA66D5">
        <w:rPr>
          <w:rFonts w:ascii="Book Antiqua" w:eastAsia="Calibri" w:hAnsi="Book Antiqua" w:cs="Times New Roman"/>
          <w:sz w:val="24"/>
        </w:rPr>
        <w:t xml:space="preserve"> Second Vatican Coun</w:t>
      </w:r>
      <w:r w:rsidR="001127AB">
        <w:rPr>
          <w:rFonts w:ascii="Book Antiqua" w:eastAsia="Calibri" w:hAnsi="Book Antiqua" w:cs="Times New Roman"/>
          <w:sz w:val="24"/>
        </w:rPr>
        <w:t>cil</w:t>
      </w:r>
      <w:r w:rsidR="0039136A">
        <w:rPr>
          <w:rFonts w:ascii="Book Antiqua" w:eastAsia="Calibri" w:hAnsi="Book Antiqua" w:cs="Times New Roman"/>
          <w:sz w:val="24"/>
        </w:rPr>
        <w:t xml:space="preserve"> (1962-1965)</w:t>
      </w:r>
      <w:r w:rsidR="001127AB">
        <w:rPr>
          <w:rFonts w:ascii="Book Antiqua" w:eastAsia="Calibri" w:hAnsi="Book Antiqua" w:cs="Times New Roman"/>
          <w:sz w:val="24"/>
        </w:rPr>
        <w:t xml:space="preserve">.  </w:t>
      </w:r>
      <w:r w:rsidR="00E0028A">
        <w:rPr>
          <w:rFonts w:ascii="Book Antiqua" w:eastAsia="Calibri" w:hAnsi="Book Antiqua" w:cs="Times New Roman"/>
          <w:sz w:val="24"/>
        </w:rPr>
        <w:t xml:space="preserve"> Like Calvin, they also identified lay people as sharing in the </w:t>
      </w:r>
      <w:r w:rsidR="00E0028A">
        <w:rPr>
          <w:rFonts w:ascii="Book Antiqua" w:eastAsia="Calibri" w:hAnsi="Book Antiqua" w:cs="Times New Roman"/>
          <w:sz w:val="24"/>
        </w:rPr>
        <w:lastRenderedPageBreak/>
        <w:t xml:space="preserve">prophetic office of Christ, but they arrived at this identification by a very different route.  </w:t>
      </w:r>
      <w:r w:rsidR="0039136A">
        <w:rPr>
          <w:rFonts w:ascii="Book Antiqua" w:eastAsia="Calibri" w:hAnsi="Book Antiqua" w:cs="Times New Roman"/>
          <w:sz w:val="24"/>
        </w:rPr>
        <w:t>To trace that route we begin with a profound shift in Roman Catholic theology and culture with respect to ecclesiology—</w:t>
      </w:r>
      <w:r w:rsidR="003D6B73">
        <w:rPr>
          <w:rFonts w:ascii="Book Antiqua" w:eastAsia="Calibri" w:hAnsi="Book Antiqua" w:cs="Times New Roman"/>
          <w:sz w:val="24"/>
        </w:rPr>
        <w:t xml:space="preserve">a technical term for what the </w:t>
      </w:r>
      <w:r w:rsidR="0039136A">
        <w:rPr>
          <w:rFonts w:ascii="Book Antiqua" w:eastAsia="Calibri" w:hAnsi="Book Antiqua" w:cs="Times New Roman"/>
          <w:sz w:val="24"/>
        </w:rPr>
        <w:t xml:space="preserve">Christian church </w:t>
      </w:r>
      <w:r w:rsidR="003D6B73">
        <w:rPr>
          <w:rFonts w:ascii="Book Antiqua" w:eastAsia="Calibri" w:hAnsi="Book Antiqua" w:cs="Times New Roman"/>
          <w:sz w:val="24"/>
        </w:rPr>
        <w:t>teaches about its own nature, purpose and form.</w:t>
      </w:r>
    </w:p>
    <w:p w14:paraId="38C1FB36" w14:textId="6CF0BFF0" w:rsidR="00C83101" w:rsidRDefault="0013594F" w:rsidP="00B322DB">
      <w:pPr>
        <w:spacing w:line="360" w:lineRule="auto"/>
        <w:rPr>
          <w:rFonts w:ascii="Book Antiqua" w:eastAsia="Calibri" w:hAnsi="Book Antiqua" w:cs="Times New Roman"/>
          <w:sz w:val="24"/>
        </w:rPr>
      </w:pPr>
      <w:r>
        <w:rPr>
          <w:rFonts w:ascii="Book Antiqua" w:eastAsia="Calibri" w:hAnsi="Book Antiqua" w:cs="Times New Roman"/>
          <w:sz w:val="24"/>
        </w:rPr>
        <w:tab/>
        <w:t xml:space="preserve">Catholics often joke that, due to the ancient roots of their community, time moves more slowly </w:t>
      </w:r>
      <w:r w:rsidR="00073ACB">
        <w:rPr>
          <w:rFonts w:ascii="Book Antiqua" w:eastAsia="Calibri" w:hAnsi="Book Antiqua" w:cs="Times New Roman"/>
          <w:sz w:val="24"/>
        </w:rPr>
        <w:t>in the Church than anywhere else</w:t>
      </w:r>
      <w:r>
        <w:rPr>
          <w:rFonts w:ascii="Book Antiqua" w:eastAsia="Calibri" w:hAnsi="Book Antiqua" w:cs="Times New Roman"/>
          <w:sz w:val="24"/>
        </w:rPr>
        <w:t xml:space="preserve">.  </w:t>
      </w:r>
      <w:r w:rsidR="00073ACB">
        <w:rPr>
          <w:rFonts w:ascii="Book Antiqua" w:eastAsia="Calibri" w:hAnsi="Book Antiqua" w:cs="Times New Roman"/>
          <w:sz w:val="24"/>
        </w:rPr>
        <w:t>It is fair to say that the Second Vatican Council marks the end of what Thomas O’Malley called “the long nineteenth century” of Catholic culture.</w:t>
      </w:r>
      <w:r w:rsidR="00073ACB">
        <w:rPr>
          <w:rStyle w:val="FootnoteReference"/>
          <w:rFonts w:ascii="Book Antiqua" w:eastAsia="Calibri" w:hAnsi="Book Antiqua" w:cs="Times New Roman"/>
          <w:sz w:val="24"/>
        </w:rPr>
        <w:footnoteReference w:id="23"/>
      </w:r>
      <w:r w:rsidR="00073ACB">
        <w:rPr>
          <w:rFonts w:ascii="Book Antiqua" w:eastAsia="Calibri" w:hAnsi="Book Antiqua" w:cs="Times New Roman"/>
          <w:sz w:val="24"/>
        </w:rPr>
        <w:t xml:space="preserve">   That </w:t>
      </w:r>
      <w:r w:rsidR="000D7290">
        <w:rPr>
          <w:rFonts w:ascii="Book Antiqua" w:eastAsia="Calibri" w:hAnsi="Book Antiqua" w:cs="Times New Roman"/>
          <w:sz w:val="24"/>
        </w:rPr>
        <w:t>“</w:t>
      </w:r>
      <w:r w:rsidR="00073ACB">
        <w:rPr>
          <w:rFonts w:ascii="Book Antiqua" w:eastAsia="Calibri" w:hAnsi="Book Antiqua" w:cs="Times New Roman"/>
          <w:sz w:val="24"/>
        </w:rPr>
        <w:t>century</w:t>
      </w:r>
      <w:r w:rsidR="000D7290">
        <w:rPr>
          <w:rFonts w:ascii="Book Antiqua" w:eastAsia="Calibri" w:hAnsi="Book Antiqua" w:cs="Times New Roman"/>
          <w:sz w:val="24"/>
        </w:rPr>
        <w:t>”</w:t>
      </w:r>
      <w:r w:rsidR="00073ACB">
        <w:rPr>
          <w:rFonts w:ascii="Book Antiqua" w:eastAsia="Calibri" w:hAnsi="Book Antiqua" w:cs="Times New Roman"/>
          <w:sz w:val="24"/>
        </w:rPr>
        <w:t xml:space="preserve"> was marked by a struggle between different conceptions of the nature of church authority. </w:t>
      </w:r>
      <w:r w:rsidR="000D7290">
        <w:rPr>
          <w:rFonts w:ascii="Book Antiqua" w:eastAsia="Calibri" w:hAnsi="Book Antiqua" w:cs="Times New Roman"/>
          <w:sz w:val="24"/>
        </w:rPr>
        <w:t>T</w:t>
      </w:r>
      <w:r w:rsidR="00073ACB">
        <w:rPr>
          <w:rFonts w:ascii="Book Antiqua" w:eastAsia="Calibri" w:hAnsi="Book Antiqua" w:cs="Times New Roman"/>
          <w:sz w:val="24"/>
        </w:rPr>
        <w:t>he same egalitarian spirit that moved in the French Revolution began to inspire the creation of lay movements within the Catholic Churches</w:t>
      </w:r>
      <w:r w:rsidR="000D7290" w:rsidRPr="000D7290">
        <w:rPr>
          <w:rFonts w:ascii="Book Antiqua" w:eastAsia="Calibri" w:hAnsi="Book Antiqua" w:cs="Times New Roman"/>
          <w:sz w:val="24"/>
        </w:rPr>
        <w:t xml:space="preserve"> </w:t>
      </w:r>
      <w:r w:rsidR="000D7290">
        <w:rPr>
          <w:rFonts w:ascii="Book Antiqua" w:eastAsia="Calibri" w:hAnsi="Book Antiqua" w:cs="Times New Roman"/>
          <w:sz w:val="24"/>
        </w:rPr>
        <w:t>toward the end of the 18</w:t>
      </w:r>
      <w:r w:rsidR="000D7290" w:rsidRPr="00073ACB">
        <w:rPr>
          <w:rFonts w:ascii="Book Antiqua" w:eastAsia="Calibri" w:hAnsi="Book Antiqua" w:cs="Times New Roman"/>
          <w:sz w:val="24"/>
          <w:vertAlign w:val="superscript"/>
        </w:rPr>
        <w:t>th</w:t>
      </w:r>
      <w:r w:rsidR="000D7290">
        <w:rPr>
          <w:rFonts w:ascii="Book Antiqua" w:eastAsia="Calibri" w:hAnsi="Book Antiqua" w:cs="Times New Roman"/>
          <w:sz w:val="24"/>
        </w:rPr>
        <w:t xml:space="preserve"> century</w:t>
      </w:r>
      <w:r w:rsidR="00B322DB">
        <w:rPr>
          <w:rFonts w:ascii="Book Antiqua" w:eastAsia="Calibri" w:hAnsi="Book Antiqua" w:cs="Times New Roman"/>
          <w:sz w:val="24"/>
        </w:rPr>
        <w:t>.  Many lay Catholics</w:t>
      </w:r>
      <w:r w:rsidR="00B42645">
        <w:rPr>
          <w:rFonts w:ascii="Book Antiqua" w:eastAsia="Calibri" w:hAnsi="Book Antiqua" w:cs="Times New Roman"/>
          <w:sz w:val="24"/>
        </w:rPr>
        <w:t xml:space="preserve"> of that time</w:t>
      </w:r>
      <w:r w:rsidR="00B322DB">
        <w:rPr>
          <w:rFonts w:ascii="Book Antiqua" w:eastAsia="Calibri" w:hAnsi="Book Antiqua" w:cs="Times New Roman"/>
          <w:sz w:val="24"/>
        </w:rPr>
        <w:t xml:space="preserve"> were concerned about the effects of industrialization on the poor and began to involve their churches </w:t>
      </w:r>
      <w:r w:rsidR="00B42645">
        <w:rPr>
          <w:rFonts w:ascii="Book Antiqua" w:eastAsia="Calibri" w:hAnsi="Book Antiqua" w:cs="Times New Roman"/>
          <w:sz w:val="24"/>
        </w:rPr>
        <w:t>in social reform</w:t>
      </w:r>
      <w:r w:rsidR="00B322DB">
        <w:rPr>
          <w:rFonts w:ascii="Book Antiqua" w:eastAsia="Calibri" w:hAnsi="Book Antiqua" w:cs="Times New Roman"/>
          <w:sz w:val="24"/>
        </w:rPr>
        <w:t xml:space="preserve">.  However, </w:t>
      </w:r>
      <w:r w:rsidR="00C83101">
        <w:rPr>
          <w:rFonts w:ascii="Book Antiqua" w:eastAsia="Calibri" w:hAnsi="Book Antiqua" w:cs="Times New Roman"/>
          <w:sz w:val="24"/>
        </w:rPr>
        <w:t xml:space="preserve">this </w:t>
      </w:r>
      <w:r w:rsidR="00B322DB">
        <w:rPr>
          <w:rFonts w:ascii="Book Antiqua" w:eastAsia="Calibri" w:hAnsi="Book Antiqua" w:cs="Times New Roman"/>
          <w:sz w:val="24"/>
        </w:rPr>
        <w:t>new emphasis on lay activity came into conflict with</w:t>
      </w:r>
      <w:r w:rsidR="00C83101">
        <w:rPr>
          <w:rFonts w:ascii="Book Antiqua" w:eastAsia="Calibri" w:hAnsi="Book Antiqua" w:cs="Times New Roman"/>
          <w:sz w:val="24"/>
        </w:rPr>
        <w:t xml:space="preserve"> strong convictions in the opposite direction.  The rise of the scientific worldview had put </w:t>
      </w:r>
      <w:r w:rsidR="00657DE0">
        <w:rPr>
          <w:rFonts w:ascii="Book Antiqua" w:eastAsia="Calibri" w:hAnsi="Book Antiqua" w:cs="Times New Roman"/>
          <w:sz w:val="24"/>
        </w:rPr>
        <w:t xml:space="preserve">all </w:t>
      </w:r>
      <w:r w:rsidR="00C83101">
        <w:rPr>
          <w:rFonts w:ascii="Book Antiqua" w:eastAsia="Calibri" w:hAnsi="Book Antiqua" w:cs="Times New Roman"/>
          <w:sz w:val="24"/>
        </w:rPr>
        <w:t xml:space="preserve">Christians, including Catholics, on the defensive with respect to the reality of the supernatural.  </w:t>
      </w:r>
      <w:r w:rsidR="00C358A6">
        <w:rPr>
          <w:rFonts w:ascii="Book Antiqua" w:eastAsia="Calibri" w:hAnsi="Book Antiqua" w:cs="Times New Roman"/>
          <w:sz w:val="24"/>
        </w:rPr>
        <w:t>On the eve of the</w:t>
      </w:r>
      <w:r w:rsidR="00C83101">
        <w:rPr>
          <w:rFonts w:ascii="Book Antiqua" w:eastAsia="Calibri" w:hAnsi="Book Antiqua" w:cs="Times New Roman"/>
          <w:sz w:val="24"/>
        </w:rPr>
        <w:t xml:space="preserve"> First Vatican Council (1869-1970)</w:t>
      </w:r>
      <w:r w:rsidR="00C358A6">
        <w:rPr>
          <w:rFonts w:ascii="Book Antiqua" w:eastAsia="Calibri" w:hAnsi="Book Antiqua" w:cs="Times New Roman"/>
          <w:sz w:val="24"/>
        </w:rPr>
        <w:t>, Pope Pius IX and the gathered bishops</w:t>
      </w:r>
      <w:r w:rsidR="00C83101">
        <w:rPr>
          <w:rFonts w:ascii="Book Antiqua" w:eastAsia="Calibri" w:hAnsi="Book Antiqua" w:cs="Times New Roman"/>
          <w:sz w:val="24"/>
        </w:rPr>
        <w:t xml:space="preserve"> were eager </w:t>
      </w:r>
      <w:r w:rsidR="00C358A6">
        <w:rPr>
          <w:rFonts w:ascii="Book Antiqua" w:eastAsia="Calibri" w:hAnsi="Book Antiqua" w:cs="Times New Roman"/>
          <w:sz w:val="24"/>
        </w:rPr>
        <w:t>to safeguard every supernatural aspect of their church’s heritage, including and especially Jesus’ identification of a special role for Peter: “You are Peter, and on this rock I will build my church, and the gates of all shall not prevail against it.  I will give you the keys of the kingdom of heaven. . .</w:t>
      </w:r>
      <w:r w:rsidR="0039499B">
        <w:rPr>
          <w:rFonts w:ascii="Book Antiqua" w:eastAsia="Calibri" w:hAnsi="Book Antiqua" w:cs="Times New Roman"/>
          <w:sz w:val="24"/>
        </w:rPr>
        <w:t>”</w:t>
      </w:r>
      <w:r w:rsidR="00C358A6">
        <w:rPr>
          <w:rFonts w:ascii="Book Antiqua" w:eastAsia="Calibri" w:hAnsi="Book Antiqua" w:cs="Times New Roman"/>
          <w:sz w:val="24"/>
        </w:rPr>
        <w:t xml:space="preserve"> </w:t>
      </w:r>
      <w:r w:rsidR="0039499B">
        <w:rPr>
          <w:rFonts w:ascii="Book Antiqua" w:eastAsia="Calibri" w:hAnsi="Book Antiqua" w:cs="Times New Roman"/>
          <w:sz w:val="24"/>
        </w:rPr>
        <w:t>[Matthew 16.18</w:t>
      </w:r>
      <w:r w:rsidR="00935AB6">
        <w:rPr>
          <w:rFonts w:ascii="Book Antiqua" w:eastAsia="Calibri" w:hAnsi="Book Antiqua" w:cs="Times New Roman"/>
          <w:sz w:val="24"/>
        </w:rPr>
        <w:t>]</w:t>
      </w:r>
      <w:r w:rsidR="0039499B">
        <w:rPr>
          <w:rFonts w:ascii="Book Antiqua" w:eastAsia="Calibri" w:hAnsi="Book Antiqua" w:cs="Times New Roman"/>
          <w:sz w:val="24"/>
        </w:rPr>
        <w:t>.</w:t>
      </w:r>
      <w:r w:rsidR="00C358A6">
        <w:rPr>
          <w:rStyle w:val="FootnoteReference"/>
          <w:rFonts w:ascii="Book Antiqua" w:eastAsia="Calibri" w:hAnsi="Book Antiqua" w:cs="Times New Roman"/>
          <w:sz w:val="24"/>
        </w:rPr>
        <w:footnoteReference w:id="24"/>
      </w:r>
      <w:r w:rsidR="00697979">
        <w:rPr>
          <w:rFonts w:ascii="Book Antiqua" w:eastAsia="Calibri" w:hAnsi="Book Antiqua" w:cs="Times New Roman"/>
          <w:sz w:val="24"/>
        </w:rPr>
        <w:t xml:space="preserve">   </w:t>
      </w:r>
    </w:p>
    <w:p w14:paraId="33A4E738" w14:textId="3FEFC54D" w:rsidR="00657DE0" w:rsidRDefault="00697979" w:rsidP="00DD2A7C">
      <w:pPr>
        <w:spacing w:line="360" w:lineRule="auto"/>
        <w:rPr>
          <w:rFonts w:ascii="Book Antiqua" w:eastAsia="Calibri" w:hAnsi="Book Antiqua" w:cs="Times New Roman"/>
          <w:sz w:val="24"/>
        </w:rPr>
      </w:pPr>
      <w:r>
        <w:rPr>
          <w:rFonts w:ascii="Book Antiqua" w:eastAsia="Calibri" w:hAnsi="Book Antiqua" w:cs="Times New Roman"/>
          <w:sz w:val="24"/>
        </w:rPr>
        <w:t xml:space="preserve">       In other words, the </w:t>
      </w:r>
      <w:r w:rsidR="000D7290">
        <w:rPr>
          <w:rFonts w:ascii="Book Antiqua" w:eastAsia="Calibri" w:hAnsi="Book Antiqua" w:cs="Times New Roman"/>
          <w:sz w:val="24"/>
        </w:rPr>
        <w:t xml:space="preserve">hierarchical structure of the Catholic church </w:t>
      </w:r>
      <w:r>
        <w:rPr>
          <w:rFonts w:ascii="Book Antiqua" w:eastAsia="Calibri" w:hAnsi="Book Antiqua" w:cs="Times New Roman"/>
          <w:sz w:val="24"/>
        </w:rPr>
        <w:t xml:space="preserve">and its </w:t>
      </w:r>
      <w:r w:rsidR="000D7290">
        <w:rPr>
          <w:rFonts w:ascii="Book Antiqua" w:eastAsia="Calibri" w:hAnsi="Book Antiqua" w:cs="Times New Roman"/>
          <w:sz w:val="24"/>
        </w:rPr>
        <w:t xml:space="preserve">divine origin </w:t>
      </w:r>
      <w:r>
        <w:rPr>
          <w:rFonts w:ascii="Book Antiqua" w:eastAsia="Calibri" w:hAnsi="Book Antiqua" w:cs="Times New Roman"/>
          <w:sz w:val="24"/>
        </w:rPr>
        <w:t xml:space="preserve">were inseparable from a Vatican I perspective. </w:t>
      </w:r>
      <w:r w:rsidR="000D7290">
        <w:rPr>
          <w:rFonts w:ascii="Book Antiqua" w:eastAsia="Calibri" w:hAnsi="Book Antiqua" w:cs="Times New Roman"/>
          <w:sz w:val="24"/>
        </w:rPr>
        <w:t xml:space="preserve"> To threaten the former was interpreted as a threat to the latter.</w:t>
      </w:r>
      <w:r>
        <w:rPr>
          <w:rFonts w:ascii="Book Antiqua" w:eastAsia="Calibri" w:hAnsi="Book Antiqua" w:cs="Times New Roman"/>
          <w:sz w:val="24"/>
        </w:rPr>
        <w:t xml:space="preserve"> It is </w:t>
      </w:r>
      <w:r w:rsidR="00F07788">
        <w:rPr>
          <w:rFonts w:ascii="Book Antiqua" w:eastAsia="Calibri" w:hAnsi="Book Antiqua" w:cs="Times New Roman"/>
          <w:sz w:val="24"/>
        </w:rPr>
        <w:t>no accident</w:t>
      </w:r>
      <w:r>
        <w:rPr>
          <w:rFonts w:ascii="Book Antiqua" w:eastAsia="Calibri" w:hAnsi="Book Antiqua" w:cs="Times New Roman"/>
          <w:sz w:val="24"/>
        </w:rPr>
        <w:t xml:space="preserve"> that the infallibility of the Pope </w:t>
      </w:r>
      <w:r w:rsidR="00F07788">
        <w:rPr>
          <w:rFonts w:ascii="Book Antiqua" w:eastAsia="Calibri" w:hAnsi="Book Antiqua" w:cs="Times New Roman"/>
          <w:sz w:val="24"/>
        </w:rPr>
        <w:t>(</w:t>
      </w:r>
      <w:r>
        <w:rPr>
          <w:rFonts w:ascii="Book Antiqua" w:eastAsia="Calibri" w:hAnsi="Book Antiqua" w:cs="Times New Roman"/>
          <w:sz w:val="24"/>
        </w:rPr>
        <w:t>under certain conditions</w:t>
      </w:r>
      <w:r w:rsidR="00F07788">
        <w:rPr>
          <w:rFonts w:ascii="Book Antiqua" w:eastAsia="Calibri" w:hAnsi="Book Antiqua" w:cs="Times New Roman"/>
          <w:sz w:val="24"/>
        </w:rPr>
        <w:t>)</w:t>
      </w:r>
      <w:r>
        <w:rPr>
          <w:rFonts w:ascii="Book Antiqua" w:eastAsia="Calibri" w:hAnsi="Book Antiqua" w:cs="Times New Roman"/>
          <w:sz w:val="24"/>
        </w:rPr>
        <w:t xml:space="preserve">, which had long been assumed but never codified, became official dogma at this council. </w:t>
      </w:r>
      <w:r w:rsidR="00292A19">
        <w:rPr>
          <w:rFonts w:ascii="Book Antiqua" w:eastAsia="Calibri" w:hAnsi="Book Antiqua" w:cs="Times New Roman"/>
          <w:sz w:val="24"/>
        </w:rPr>
        <w:t xml:space="preserve">  </w:t>
      </w:r>
      <w:r w:rsidR="00F07788">
        <w:rPr>
          <w:rFonts w:ascii="Book Antiqua" w:eastAsia="Calibri" w:hAnsi="Book Antiqua" w:cs="Times New Roman"/>
          <w:sz w:val="24"/>
        </w:rPr>
        <w:t>Meanwhile the</w:t>
      </w:r>
      <w:r w:rsidR="00292A19">
        <w:rPr>
          <w:rFonts w:ascii="Book Antiqua" w:eastAsia="Calibri" w:hAnsi="Book Antiqua" w:cs="Times New Roman"/>
          <w:sz w:val="24"/>
        </w:rPr>
        <w:t xml:space="preserve"> social Catholicism of (for example) </w:t>
      </w:r>
      <w:r w:rsidR="00292A19">
        <w:rPr>
          <w:rFonts w:ascii="Book Antiqua" w:eastAsia="Calibri" w:hAnsi="Book Antiqua" w:cs="Times New Roman"/>
          <w:sz w:val="24"/>
        </w:rPr>
        <w:lastRenderedPageBreak/>
        <w:t xml:space="preserve">Cardinal Joseph Cardijn, who founded the Young Christian Worker’s movement in 1924, expressed confidence in the ability of lay people to “see, judge, act”: to observe their surroundings, </w:t>
      </w:r>
      <w:r w:rsidR="00B42645">
        <w:rPr>
          <w:rFonts w:ascii="Book Antiqua" w:eastAsia="Calibri" w:hAnsi="Book Antiqua" w:cs="Times New Roman"/>
          <w:sz w:val="24"/>
        </w:rPr>
        <w:t xml:space="preserve">to </w:t>
      </w:r>
      <w:r w:rsidR="00292A19">
        <w:rPr>
          <w:rFonts w:ascii="Book Antiqua" w:eastAsia="Calibri" w:hAnsi="Book Antiqua" w:cs="Times New Roman"/>
          <w:sz w:val="24"/>
        </w:rPr>
        <w:t>analyze what was needed from a Gospel point of view, and</w:t>
      </w:r>
      <w:r w:rsidR="00DA1351">
        <w:rPr>
          <w:rFonts w:ascii="Book Antiqua" w:eastAsia="Calibri" w:hAnsi="Book Antiqua" w:cs="Times New Roman"/>
          <w:sz w:val="24"/>
        </w:rPr>
        <w:t xml:space="preserve"> </w:t>
      </w:r>
      <w:r w:rsidR="00B42645">
        <w:rPr>
          <w:rFonts w:ascii="Book Antiqua" w:eastAsia="Calibri" w:hAnsi="Book Antiqua" w:cs="Times New Roman"/>
          <w:sz w:val="24"/>
        </w:rPr>
        <w:t xml:space="preserve">then to bring </w:t>
      </w:r>
      <w:r w:rsidR="0053093D">
        <w:rPr>
          <w:rFonts w:ascii="Book Antiqua" w:eastAsia="Calibri" w:hAnsi="Book Antiqua" w:cs="Times New Roman"/>
          <w:sz w:val="24"/>
        </w:rPr>
        <w:t>reforms</w:t>
      </w:r>
      <w:r w:rsidR="00B42645">
        <w:rPr>
          <w:rFonts w:ascii="Book Antiqua" w:eastAsia="Calibri" w:hAnsi="Book Antiqua" w:cs="Times New Roman"/>
          <w:sz w:val="24"/>
        </w:rPr>
        <w:t xml:space="preserve"> into being</w:t>
      </w:r>
      <w:r w:rsidR="00292A19">
        <w:rPr>
          <w:rFonts w:ascii="Book Antiqua" w:eastAsia="Calibri" w:hAnsi="Book Antiqua" w:cs="Times New Roman"/>
          <w:sz w:val="24"/>
        </w:rPr>
        <w:t xml:space="preserve">.   </w:t>
      </w:r>
      <w:r w:rsidR="00DA1351">
        <w:rPr>
          <w:rFonts w:ascii="Book Antiqua" w:eastAsia="Calibri" w:hAnsi="Book Antiqua" w:cs="Times New Roman"/>
          <w:sz w:val="24"/>
        </w:rPr>
        <w:t>To</w:t>
      </w:r>
      <w:r w:rsidR="00292A19">
        <w:rPr>
          <w:rFonts w:ascii="Book Antiqua" w:eastAsia="Calibri" w:hAnsi="Book Antiqua" w:cs="Times New Roman"/>
          <w:sz w:val="24"/>
        </w:rPr>
        <w:t xml:space="preserve"> those who feared an erosion of the hierarchical church, this ability</w:t>
      </w:r>
      <w:r w:rsidR="00DA1351">
        <w:rPr>
          <w:rFonts w:ascii="Book Antiqua" w:eastAsia="Calibri" w:hAnsi="Book Antiqua" w:cs="Times New Roman"/>
          <w:sz w:val="24"/>
        </w:rPr>
        <w:t xml:space="preserve"> of believers</w:t>
      </w:r>
      <w:r w:rsidR="00292A19">
        <w:rPr>
          <w:rFonts w:ascii="Book Antiqua" w:eastAsia="Calibri" w:hAnsi="Book Antiqua" w:cs="Times New Roman"/>
          <w:sz w:val="24"/>
        </w:rPr>
        <w:t xml:space="preserve"> to function socially and theologically without clerical guidance seemed </w:t>
      </w:r>
      <w:r w:rsidR="00E33A94">
        <w:rPr>
          <w:rFonts w:ascii="Book Antiqua" w:eastAsia="Calibri" w:hAnsi="Book Antiqua" w:cs="Times New Roman"/>
          <w:sz w:val="24"/>
        </w:rPr>
        <w:t>downright</w:t>
      </w:r>
      <w:r w:rsidR="00292A19">
        <w:rPr>
          <w:rFonts w:ascii="Book Antiqua" w:eastAsia="Calibri" w:hAnsi="Book Antiqua" w:cs="Times New Roman"/>
          <w:sz w:val="24"/>
        </w:rPr>
        <w:t xml:space="preserve"> dangerous.   </w:t>
      </w:r>
      <w:r w:rsidR="00DA1351">
        <w:rPr>
          <w:rFonts w:ascii="Book Antiqua" w:eastAsia="Calibri" w:hAnsi="Book Antiqua" w:cs="Times New Roman"/>
          <w:sz w:val="24"/>
        </w:rPr>
        <w:t>Yet by the end o</w:t>
      </w:r>
      <w:r w:rsidR="00E33A94">
        <w:rPr>
          <w:rFonts w:ascii="Book Antiqua" w:eastAsia="Calibri" w:hAnsi="Book Antiqua" w:cs="Times New Roman"/>
          <w:sz w:val="24"/>
        </w:rPr>
        <w:t xml:space="preserve">f the “long nineteenth century” an </w:t>
      </w:r>
      <w:r w:rsidR="00292A19">
        <w:rPr>
          <w:rFonts w:ascii="Book Antiqua" w:eastAsia="Calibri" w:hAnsi="Book Antiqua" w:cs="Times New Roman"/>
          <w:sz w:val="24"/>
        </w:rPr>
        <w:t xml:space="preserve">increased esteem for </w:t>
      </w:r>
      <w:r w:rsidR="00DA1351">
        <w:rPr>
          <w:rFonts w:ascii="Book Antiqua" w:eastAsia="Calibri" w:hAnsi="Book Antiqua" w:cs="Times New Roman"/>
          <w:sz w:val="24"/>
        </w:rPr>
        <w:t>lay judgment</w:t>
      </w:r>
      <w:r w:rsidR="00292A19">
        <w:rPr>
          <w:rFonts w:ascii="Book Antiqua" w:eastAsia="Calibri" w:hAnsi="Book Antiqua" w:cs="Times New Roman"/>
          <w:sz w:val="24"/>
        </w:rPr>
        <w:t xml:space="preserve"> began to penetrate</w:t>
      </w:r>
      <w:r w:rsidR="00DA1351">
        <w:rPr>
          <w:rFonts w:ascii="Book Antiqua" w:eastAsia="Calibri" w:hAnsi="Book Antiqua" w:cs="Times New Roman"/>
          <w:sz w:val="24"/>
        </w:rPr>
        <w:t xml:space="preserve"> the thinking of</w:t>
      </w:r>
      <w:r w:rsidR="00292A19">
        <w:rPr>
          <w:rFonts w:ascii="Book Antiqua" w:eastAsia="Calibri" w:hAnsi="Book Antiqua" w:cs="Times New Roman"/>
          <w:sz w:val="24"/>
        </w:rPr>
        <w:t xml:space="preserve"> the institutional church.</w:t>
      </w:r>
      <w:r w:rsidR="00DA1351">
        <w:rPr>
          <w:rFonts w:ascii="Book Antiqua" w:eastAsia="Calibri" w:hAnsi="Book Antiqua" w:cs="Times New Roman"/>
          <w:sz w:val="24"/>
        </w:rPr>
        <w:t xml:space="preserve">  </w:t>
      </w:r>
      <w:r w:rsidR="00E33A94">
        <w:rPr>
          <w:rFonts w:ascii="Book Antiqua" w:eastAsia="Calibri" w:hAnsi="Book Antiqua" w:cs="Times New Roman"/>
          <w:sz w:val="24"/>
        </w:rPr>
        <w:t xml:space="preserve">When </w:t>
      </w:r>
      <w:r w:rsidR="00DA1351">
        <w:rPr>
          <w:rFonts w:ascii="Book Antiqua" w:eastAsia="Calibri" w:hAnsi="Book Antiqua" w:cs="Times New Roman"/>
          <w:sz w:val="24"/>
        </w:rPr>
        <w:t>Pope John XXIII</w:t>
      </w:r>
      <w:r w:rsidR="00DA1351" w:rsidRPr="00DA1351">
        <w:rPr>
          <w:rFonts w:ascii="Book Antiqua" w:eastAsia="Calibri" w:hAnsi="Book Antiqua" w:cs="Times New Roman"/>
          <w:sz w:val="24"/>
        </w:rPr>
        <w:t xml:space="preserve"> </w:t>
      </w:r>
      <w:r w:rsidR="00DA1351">
        <w:rPr>
          <w:rFonts w:ascii="Book Antiqua" w:eastAsia="Calibri" w:hAnsi="Book Antiqua" w:cs="Times New Roman"/>
          <w:sz w:val="24"/>
        </w:rPr>
        <w:t xml:space="preserve">spoke approvingly of the “see, judge, act” method in his 1961 encyclical letter </w:t>
      </w:r>
      <w:r w:rsidR="00DA1351" w:rsidRPr="00DA1351">
        <w:rPr>
          <w:rFonts w:ascii="Book Antiqua" w:eastAsia="Calibri" w:hAnsi="Book Antiqua" w:cs="Times New Roman"/>
          <w:i/>
          <w:sz w:val="24"/>
        </w:rPr>
        <w:t>Mater et Magistra</w:t>
      </w:r>
      <w:r w:rsidR="00E33A94">
        <w:rPr>
          <w:rFonts w:ascii="Book Antiqua" w:eastAsia="Calibri" w:hAnsi="Book Antiqua" w:cs="Times New Roman"/>
          <w:sz w:val="24"/>
        </w:rPr>
        <w:t xml:space="preserve">, it was clear that lay judgment and papal primacy </w:t>
      </w:r>
      <w:r w:rsidR="00B42645">
        <w:rPr>
          <w:rFonts w:ascii="Book Antiqua" w:eastAsia="Calibri" w:hAnsi="Book Antiqua" w:cs="Times New Roman"/>
          <w:sz w:val="24"/>
        </w:rPr>
        <w:t>were reconcilable</w:t>
      </w:r>
      <w:r w:rsidR="00657DE0">
        <w:rPr>
          <w:rFonts w:ascii="Book Antiqua" w:eastAsia="Calibri" w:hAnsi="Book Antiqua" w:cs="Times New Roman"/>
          <w:sz w:val="24"/>
        </w:rPr>
        <w:t xml:space="preserve"> in the one church</w:t>
      </w:r>
      <w:r w:rsidR="00E33A94">
        <w:rPr>
          <w:rFonts w:ascii="Book Antiqua" w:eastAsia="Calibri" w:hAnsi="Book Antiqua" w:cs="Times New Roman"/>
          <w:sz w:val="24"/>
        </w:rPr>
        <w:t xml:space="preserve">.  </w:t>
      </w:r>
      <w:r w:rsidR="00657DE0">
        <w:rPr>
          <w:rFonts w:ascii="Book Antiqua" w:eastAsia="Calibri" w:hAnsi="Book Antiqua" w:cs="Times New Roman"/>
          <w:sz w:val="24"/>
        </w:rPr>
        <w:t>Yves Congar’s massive book</w:t>
      </w:r>
      <w:r w:rsidR="00092F06">
        <w:rPr>
          <w:rFonts w:ascii="Book Antiqua" w:eastAsia="Calibri" w:hAnsi="Book Antiqua" w:cs="Times New Roman"/>
          <w:sz w:val="24"/>
        </w:rPr>
        <w:t xml:space="preserve"> entitled </w:t>
      </w:r>
      <w:r w:rsidR="00657DE0" w:rsidRPr="00657DE0">
        <w:rPr>
          <w:rFonts w:ascii="Book Antiqua" w:eastAsia="Calibri" w:hAnsi="Book Antiqua" w:cs="Times New Roman"/>
          <w:i/>
          <w:sz w:val="24"/>
        </w:rPr>
        <w:t>Lay People in the Church</w:t>
      </w:r>
      <w:r w:rsidR="00092F06">
        <w:rPr>
          <w:rFonts w:ascii="Book Antiqua" w:eastAsia="Calibri" w:hAnsi="Book Antiqua" w:cs="Times New Roman"/>
          <w:i/>
          <w:sz w:val="24"/>
        </w:rPr>
        <w:t xml:space="preserve"> </w:t>
      </w:r>
      <w:r w:rsidR="00657DE0">
        <w:rPr>
          <w:rFonts w:ascii="Book Antiqua" w:eastAsia="Calibri" w:hAnsi="Book Antiqua" w:cs="Times New Roman"/>
          <w:sz w:val="24"/>
        </w:rPr>
        <w:t>probed the subtleties of this new understanding in language that anticipated Congar’s later, decisive contribution to Vatican II.</w:t>
      </w:r>
    </w:p>
    <w:p w14:paraId="3F051C43" w14:textId="79B9D0F8" w:rsidR="00DD2A7C" w:rsidRDefault="00DD2A7C" w:rsidP="00DD2A7C">
      <w:pPr>
        <w:spacing w:line="360" w:lineRule="auto"/>
        <w:rPr>
          <w:rFonts w:ascii="Book Antiqua" w:eastAsia="Calibri" w:hAnsi="Book Antiqua" w:cs="Times New Roman"/>
          <w:sz w:val="24"/>
        </w:rPr>
      </w:pPr>
      <w:r>
        <w:rPr>
          <w:rFonts w:ascii="Book Antiqua" w:eastAsia="Calibri" w:hAnsi="Book Antiqua" w:cs="Times New Roman"/>
          <w:sz w:val="24"/>
        </w:rPr>
        <w:tab/>
      </w:r>
      <w:r w:rsidR="00F07788">
        <w:rPr>
          <w:rFonts w:ascii="Book Antiqua" w:eastAsia="Calibri" w:hAnsi="Book Antiqua" w:cs="Times New Roman"/>
          <w:sz w:val="24"/>
        </w:rPr>
        <w:t xml:space="preserve">The </w:t>
      </w:r>
      <w:r>
        <w:rPr>
          <w:rFonts w:ascii="Book Antiqua" w:eastAsia="Calibri" w:hAnsi="Book Antiqua" w:cs="Times New Roman"/>
          <w:sz w:val="24"/>
        </w:rPr>
        <w:t xml:space="preserve">council fathers had to chart a theological course that would allow them to ascribe significant importance to lay judgment, while at the same time respecting the traditional ecclesiology of the Church.   </w:t>
      </w:r>
      <w:r w:rsidRPr="001A1E0B">
        <w:rPr>
          <w:rFonts w:ascii="Book Antiqua" w:eastAsia="Calibri" w:hAnsi="Book Antiqua" w:cs="Times New Roman"/>
          <w:i/>
          <w:sz w:val="24"/>
        </w:rPr>
        <w:t>Lumen gentium</w:t>
      </w:r>
      <w:r>
        <w:rPr>
          <w:rFonts w:ascii="Book Antiqua" w:eastAsia="Calibri" w:hAnsi="Book Antiqua" w:cs="Times New Roman"/>
          <w:sz w:val="24"/>
        </w:rPr>
        <w:t xml:space="preserve"> (The Dogmatic Constitution on the Church) affirm</w:t>
      </w:r>
      <w:r w:rsidR="00CB5B73">
        <w:rPr>
          <w:rFonts w:ascii="Book Antiqua" w:eastAsia="Calibri" w:hAnsi="Book Antiqua" w:cs="Times New Roman"/>
          <w:sz w:val="24"/>
        </w:rPr>
        <w:t>ed</w:t>
      </w:r>
      <w:r>
        <w:rPr>
          <w:rFonts w:ascii="Book Antiqua" w:eastAsia="Calibri" w:hAnsi="Book Antiqua" w:cs="Times New Roman"/>
          <w:sz w:val="24"/>
        </w:rPr>
        <w:t xml:space="preserve"> that the Catholic church is </w:t>
      </w:r>
      <w:proofErr w:type="gramStart"/>
      <w:r>
        <w:rPr>
          <w:rFonts w:ascii="Book Antiqua" w:eastAsia="Calibri" w:hAnsi="Book Antiqua" w:cs="Times New Roman"/>
          <w:sz w:val="24"/>
        </w:rPr>
        <w:t>hierarchical in essence, as</w:t>
      </w:r>
      <w:proofErr w:type="gramEnd"/>
      <w:r>
        <w:rPr>
          <w:rFonts w:ascii="Book Antiqua" w:eastAsia="Calibri" w:hAnsi="Book Antiqua" w:cs="Times New Roman"/>
          <w:sz w:val="24"/>
        </w:rPr>
        <w:t xml:space="preserve"> established by Christ along with the special apostleship of Peter.</w:t>
      </w:r>
      <w:r>
        <w:rPr>
          <w:rStyle w:val="FootnoteReference"/>
          <w:rFonts w:ascii="Book Antiqua" w:eastAsia="Calibri" w:hAnsi="Book Antiqua" w:cs="Times New Roman"/>
          <w:sz w:val="24"/>
        </w:rPr>
        <w:footnoteReference w:id="25"/>
      </w:r>
      <w:r>
        <w:rPr>
          <w:rFonts w:ascii="Book Antiqua" w:eastAsia="Calibri" w:hAnsi="Book Antiqua" w:cs="Times New Roman"/>
          <w:sz w:val="24"/>
        </w:rPr>
        <w:t xml:space="preserve"> </w:t>
      </w:r>
      <w:r w:rsidR="002F3B8A">
        <w:rPr>
          <w:rFonts w:ascii="Book Antiqua" w:eastAsia="Calibri" w:hAnsi="Book Antiqua" w:cs="Times New Roman"/>
          <w:sz w:val="24"/>
        </w:rPr>
        <w:t xml:space="preserve">  However, it </w:t>
      </w:r>
      <w:r w:rsidR="008E7F17">
        <w:rPr>
          <w:rFonts w:ascii="Book Antiqua" w:eastAsia="Calibri" w:hAnsi="Book Antiqua" w:cs="Times New Roman"/>
          <w:sz w:val="24"/>
        </w:rPr>
        <w:t>qualified</w:t>
      </w:r>
      <w:r w:rsidR="002F3B8A">
        <w:rPr>
          <w:rFonts w:ascii="Book Antiqua" w:eastAsia="Calibri" w:hAnsi="Book Antiqua" w:cs="Times New Roman"/>
          <w:sz w:val="24"/>
        </w:rPr>
        <w:t xml:space="preserve"> and enriche</w:t>
      </w:r>
      <w:r w:rsidR="00CB5B73">
        <w:rPr>
          <w:rFonts w:ascii="Book Antiqua" w:eastAsia="Calibri" w:hAnsi="Book Antiqua" w:cs="Times New Roman"/>
          <w:sz w:val="24"/>
        </w:rPr>
        <w:t>d</w:t>
      </w:r>
      <w:r w:rsidR="002F3B8A">
        <w:rPr>
          <w:rFonts w:ascii="Book Antiqua" w:eastAsia="Calibri" w:hAnsi="Book Antiqua" w:cs="Times New Roman"/>
          <w:sz w:val="24"/>
        </w:rPr>
        <w:t xml:space="preserve"> this </w:t>
      </w:r>
      <w:r w:rsidR="008E7F17">
        <w:rPr>
          <w:rFonts w:ascii="Book Antiqua" w:eastAsia="Calibri" w:hAnsi="Book Antiqua" w:cs="Times New Roman"/>
          <w:sz w:val="24"/>
        </w:rPr>
        <w:t>definition</w:t>
      </w:r>
      <w:r w:rsidR="002F3B8A">
        <w:rPr>
          <w:rFonts w:ascii="Book Antiqua" w:eastAsia="Calibri" w:hAnsi="Book Antiqua" w:cs="Times New Roman"/>
          <w:sz w:val="24"/>
        </w:rPr>
        <w:t xml:space="preserve"> by emphasizing three </w:t>
      </w:r>
      <w:r w:rsidR="00F82F0A">
        <w:rPr>
          <w:rFonts w:ascii="Book Antiqua" w:eastAsia="Calibri" w:hAnsi="Book Antiqua" w:cs="Times New Roman"/>
          <w:sz w:val="24"/>
        </w:rPr>
        <w:t>works</w:t>
      </w:r>
      <w:r w:rsidR="002F3B8A">
        <w:rPr>
          <w:rFonts w:ascii="Book Antiqua" w:eastAsia="Calibri" w:hAnsi="Book Antiqua" w:cs="Times New Roman"/>
          <w:sz w:val="24"/>
        </w:rPr>
        <w:t xml:space="preserve"> of the Holy Spirit within the hierarchical Church.  The first is baptism, which unites all believers, clergy and lay, </w:t>
      </w:r>
      <w:r w:rsidR="001F76A7">
        <w:rPr>
          <w:rFonts w:ascii="Book Antiqua" w:eastAsia="Calibri" w:hAnsi="Book Antiqua" w:cs="Times New Roman"/>
          <w:sz w:val="24"/>
        </w:rPr>
        <w:t xml:space="preserve">equally into Christ.  </w:t>
      </w:r>
      <w:r w:rsidR="002F3B8A">
        <w:rPr>
          <w:rFonts w:ascii="Book Antiqua" w:eastAsia="Calibri" w:hAnsi="Book Antiqua" w:cs="Times New Roman"/>
          <w:sz w:val="24"/>
        </w:rPr>
        <w:t>“. . . There is a common dignity of members deriving from their re-birth in Christ, a common grace as sons and daughters, a common vocation to perfection, one salvation, one hope and undivided charity.”</w:t>
      </w:r>
      <w:r w:rsidR="002F3B8A">
        <w:rPr>
          <w:rStyle w:val="FootnoteReference"/>
          <w:rFonts w:ascii="Book Antiqua" w:eastAsia="Calibri" w:hAnsi="Book Antiqua" w:cs="Times New Roman"/>
          <w:sz w:val="24"/>
        </w:rPr>
        <w:footnoteReference w:id="26"/>
      </w:r>
      <w:r w:rsidR="002F3B8A">
        <w:rPr>
          <w:rFonts w:ascii="Book Antiqua" w:eastAsia="Calibri" w:hAnsi="Book Antiqua" w:cs="Times New Roman"/>
          <w:sz w:val="24"/>
        </w:rPr>
        <w:t xml:space="preserve">  </w:t>
      </w:r>
      <w:r w:rsidR="001F76A7">
        <w:rPr>
          <w:rFonts w:ascii="Book Antiqua" w:eastAsia="Calibri" w:hAnsi="Book Antiqua" w:cs="Times New Roman"/>
          <w:sz w:val="24"/>
        </w:rPr>
        <w:t xml:space="preserve"> It is true that the sacrament of ordination equips a priest to function </w:t>
      </w:r>
      <w:r w:rsidR="001F76A7" w:rsidRPr="00EB0F5E">
        <w:rPr>
          <w:rFonts w:ascii="Book Antiqua" w:eastAsia="Calibri" w:hAnsi="Book Antiqua" w:cs="Times New Roman"/>
          <w:i/>
          <w:sz w:val="24"/>
        </w:rPr>
        <w:t>in personae Christi</w:t>
      </w:r>
      <w:r w:rsidR="001F76A7">
        <w:rPr>
          <w:rFonts w:ascii="Book Antiqua" w:eastAsia="Calibri" w:hAnsi="Book Antiqua" w:cs="Times New Roman"/>
          <w:sz w:val="24"/>
        </w:rPr>
        <w:t xml:space="preserve"> (in the person of Christ) in way that is not open to lay people.</w:t>
      </w:r>
      <w:r w:rsidR="001F76A7">
        <w:rPr>
          <w:rStyle w:val="FootnoteReference"/>
          <w:rFonts w:ascii="Book Antiqua" w:eastAsia="Calibri" w:hAnsi="Book Antiqua" w:cs="Times New Roman"/>
          <w:sz w:val="24"/>
        </w:rPr>
        <w:footnoteReference w:id="27"/>
      </w:r>
      <w:r w:rsidR="001F76A7">
        <w:rPr>
          <w:rFonts w:ascii="Book Antiqua" w:eastAsia="Calibri" w:hAnsi="Book Antiqua" w:cs="Times New Roman"/>
          <w:sz w:val="24"/>
        </w:rPr>
        <w:t xml:space="preserve">  Yet both clergy and laity are called to a life of  “holiness,” which will appear differently in their different circumstances.</w:t>
      </w:r>
      <w:r w:rsidR="001F76A7">
        <w:rPr>
          <w:rStyle w:val="FootnoteReference"/>
          <w:rFonts w:ascii="Book Antiqua" w:eastAsia="Calibri" w:hAnsi="Book Antiqua" w:cs="Times New Roman"/>
          <w:sz w:val="24"/>
        </w:rPr>
        <w:footnoteReference w:id="28"/>
      </w:r>
      <w:r w:rsidR="001F76A7">
        <w:rPr>
          <w:rFonts w:ascii="Book Antiqua" w:eastAsia="Calibri" w:hAnsi="Book Antiqua" w:cs="Times New Roman"/>
          <w:sz w:val="24"/>
        </w:rPr>
        <w:t xml:space="preserve">  </w:t>
      </w:r>
    </w:p>
    <w:p w14:paraId="5330E998" w14:textId="118706EE" w:rsidR="00CB5B73" w:rsidRDefault="00092F06" w:rsidP="00CB5B73">
      <w:pPr>
        <w:spacing w:line="360" w:lineRule="auto"/>
        <w:ind w:firstLine="720"/>
        <w:rPr>
          <w:rFonts w:ascii="Book Antiqua" w:eastAsia="Calibri" w:hAnsi="Book Antiqua" w:cs="Times New Roman"/>
          <w:sz w:val="24"/>
        </w:rPr>
      </w:pPr>
      <w:r>
        <w:rPr>
          <w:rFonts w:ascii="Book Antiqua" w:eastAsia="Calibri" w:hAnsi="Book Antiqua" w:cs="Times New Roman"/>
          <w:sz w:val="24"/>
        </w:rPr>
        <w:lastRenderedPageBreak/>
        <w:t>The</w:t>
      </w:r>
      <w:r w:rsidR="001F76A7">
        <w:rPr>
          <w:rFonts w:ascii="Book Antiqua" w:eastAsia="Calibri" w:hAnsi="Book Antiqua" w:cs="Times New Roman"/>
          <w:sz w:val="24"/>
        </w:rPr>
        <w:t xml:space="preserve"> Holy Spirit actively constitute</w:t>
      </w:r>
      <w:r>
        <w:rPr>
          <w:rFonts w:ascii="Book Antiqua" w:eastAsia="Calibri" w:hAnsi="Book Antiqua" w:cs="Times New Roman"/>
          <w:sz w:val="24"/>
        </w:rPr>
        <w:t>s</w:t>
      </w:r>
      <w:r w:rsidR="001F76A7">
        <w:rPr>
          <w:rFonts w:ascii="Book Antiqua" w:eastAsia="Calibri" w:hAnsi="Book Antiqua" w:cs="Times New Roman"/>
          <w:sz w:val="24"/>
        </w:rPr>
        <w:t xml:space="preserve"> the church through </w:t>
      </w:r>
      <w:r w:rsidR="00CB5B73">
        <w:rPr>
          <w:rFonts w:ascii="Book Antiqua" w:eastAsia="Calibri" w:hAnsi="Book Antiqua" w:cs="Times New Roman"/>
          <w:sz w:val="24"/>
        </w:rPr>
        <w:t>the baptism of clergy and lay members</w:t>
      </w:r>
      <w:r>
        <w:rPr>
          <w:rFonts w:ascii="Book Antiqua" w:eastAsia="Calibri" w:hAnsi="Book Antiqua" w:cs="Times New Roman"/>
          <w:sz w:val="24"/>
        </w:rPr>
        <w:t xml:space="preserve">.  Yet </w:t>
      </w:r>
      <w:r w:rsidR="00CB5B73">
        <w:rPr>
          <w:rFonts w:ascii="Book Antiqua" w:eastAsia="Calibri" w:hAnsi="Book Antiqua" w:cs="Times New Roman"/>
          <w:sz w:val="24"/>
        </w:rPr>
        <w:t>He also creates community at every level of the church’s life.  While it is a hierarchy, the</w:t>
      </w:r>
      <w:r w:rsidR="008E7F17">
        <w:rPr>
          <w:rFonts w:ascii="Book Antiqua" w:eastAsia="Calibri" w:hAnsi="Book Antiqua" w:cs="Times New Roman"/>
          <w:sz w:val="24"/>
        </w:rPr>
        <w:t xml:space="preserve"> Roman Catholic</w:t>
      </w:r>
      <w:r w:rsidR="00CB5B73">
        <w:rPr>
          <w:rFonts w:ascii="Book Antiqua" w:eastAsia="Calibri" w:hAnsi="Book Antiqua" w:cs="Times New Roman"/>
          <w:sz w:val="24"/>
        </w:rPr>
        <w:t xml:space="preserve"> church is also “the people of God”: a communion that is both physical and spiritual.  Christ is the Head of the Church, but he has equal communion with Pope, bishops, priests and people, all of whom are baptized in the Holy Spirit, the author of </w:t>
      </w:r>
      <w:r w:rsidR="00F43C8B" w:rsidRPr="00F43C8B">
        <w:rPr>
          <w:rFonts w:ascii="Book Antiqua" w:eastAsia="Calibri" w:hAnsi="Book Antiqua" w:cs="Times New Roman"/>
          <w:sz w:val="24"/>
        </w:rPr>
        <w:t>communion</w:t>
      </w:r>
      <w:r w:rsidR="00CB5B73">
        <w:rPr>
          <w:rFonts w:ascii="Book Antiqua" w:eastAsia="Calibri" w:hAnsi="Book Antiqua" w:cs="Times New Roman"/>
          <w:sz w:val="24"/>
        </w:rPr>
        <w:t>.    The Pope has “full, supreme and universal power over the whole church,” but he can never exercise that power apart from the communion he shares with all the bishops.</w:t>
      </w:r>
      <w:r w:rsidR="00CB5B73">
        <w:rPr>
          <w:rStyle w:val="FootnoteReference"/>
          <w:rFonts w:ascii="Book Antiqua" w:eastAsia="Calibri" w:hAnsi="Book Antiqua" w:cs="Times New Roman"/>
          <w:sz w:val="24"/>
        </w:rPr>
        <w:footnoteReference w:id="29"/>
      </w:r>
      <w:r w:rsidR="00CB5B73">
        <w:rPr>
          <w:rFonts w:ascii="Book Antiqua" w:eastAsia="Calibri" w:hAnsi="Book Antiqua" w:cs="Times New Roman"/>
          <w:sz w:val="24"/>
        </w:rPr>
        <w:t xml:space="preserve">  Bishops are given leadership of particular churches, but the quality of their leadership depends on collegiality with one another and on their degree of concern for the universal church.</w:t>
      </w:r>
      <w:r w:rsidR="00CB5B73">
        <w:rPr>
          <w:rStyle w:val="FootnoteReference"/>
          <w:rFonts w:ascii="Book Antiqua" w:eastAsia="Calibri" w:hAnsi="Book Antiqua" w:cs="Times New Roman"/>
          <w:sz w:val="24"/>
        </w:rPr>
        <w:footnoteReference w:id="30"/>
      </w:r>
      <w:r w:rsidR="00CB5B73">
        <w:rPr>
          <w:rFonts w:ascii="Book Antiqua" w:eastAsia="Calibri" w:hAnsi="Book Antiqua" w:cs="Times New Roman"/>
          <w:sz w:val="24"/>
        </w:rPr>
        <w:t xml:space="preserve">  Priests are united by mission and ordination with bishops, yet united by common baptism with the laity.  </w:t>
      </w:r>
      <w:r w:rsidR="00935AB6">
        <w:rPr>
          <w:rFonts w:ascii="Book Antiqua" w:eastAsia="Calibri" w:hAnsi="Book Antiqua" w:cs="Times New Roman"/>
          <w:sz w:val="24"/>
        </w:rPr>
        <w:t>Ultimately</w:t>
      </w:r>
      <w:r w:rsidR="00CB5B73">
        <w:rPr>
          <w:rFonts w:ascii="Book Antiqua" w:eastAsia="Calibri" w:hAnsi="Book Antiqua" w:cs="Times New Roman"/>
          <w:sz w:val="24"/>
        </w:rPr>
        <w:t xml:space="preserve"> “the distinction which the Lord has made” between priest and laity “implies union, for the pastors and the other faithful are joined together by a close relationship” and for a common task, which is the proclamation of the Gospel.</w:t>
      </w:r>
      <w:r w:rsidR="00F07788">
        <w:rPr>
          <w:rFonts w:ascii="Book Antiqua" w:eastAsia="Calibri" w:hAnsi="Book Antiqua" w:cs="Times New Roman"/>
          <w:sz w:val="24"/>
        </w:rPr>
        <w:t>”</w:t>
      </w:r>
      <w:r w:rsidR="00CB5B73">
        <w:rPr>
          <w:rStyle w:val="FootnoteReference"/>
          <w:rFonts w:ascii="Book Antiqua" w:eastAsia="Calibri" w:hAnsi="Book Antiqua" w:cs="Times New Roman"/>
          <w:sz w:val="24"/>
        </w:rPr>
        <w:footnoteReference w:id="31"/>
      </w:r>
      <w:r w:rsidR="00CB5B73" w:rsidRPr="00CB5B73">
        <w:rPr>
          <w:rFonts w:ascii="Book Antiqua" w:eastAsia="Calibri" w:hAnsi="Book Antiqua" w:cs="Times New Roman"/>
          <w:sz w:val="24"/>
        </w:rPr>
        <w:t xml:space="preserve"> </w:t>
      </w:r>
      <w:r w:rsidR="00CB5B73">
        <w:rPr>
          <w:rFonts w:ascii="Book Antiqua" w:eastAsia="Calibri" w:hAnsi="Book Antiqua" w:cs="Times New Roman"/>
          <w:sz w:val="24"/>
        </w:rPr>
        <w:t xml:space="preserve"> </w:t>
      </w:r>
      <w:r>
        <w:rPr>
          <w:rFonts w:ascii="Book Antiqua" w:eastAsia="Calibri" w:hAnsi="Book Antiqua" w:cs="Times New Roman"/>
          <w:sz w:val="24"/>
        </w:rPr>
        <w:t>If the</w:t>
      </w:r>
      <w:r w:rsidR="00935AB6">
        <w:rPr>
          <w:rFonts w:ascii="Book Antiqua" w:eastAsia="Calibri" w:hAnsi="Book Antiqua" w:cs="Times New Roman"/>
          <w:sz w:val="24"/>
        </w:rPr>
        <w:t xml:space="preserve"> church is not </w:t>
      </w:r>
      <w:r w:rsidR="00254D93">
        <w:rPr>
          <w:rFonts w:ascii="Book Antiqua" w:eastAsia="Calibri" w:hAnsi="Book Antiqua" w:cs="Times New Roman"/>
          <w:sz w:val="24"/>
        </w:rPr>
        <w:t>a humanly-designed hierarchy but one that is created by the Holy Spirit</w:t>
      </w:r>
      <w:r>
        <w:rPr>
          <w:rFonts w:ascii="Book Antiqua" w:eastAsia="Calibri" w:hAnsi="Book Antiqua" w:cs="Times New Roman"/>
          <w:sz w:val="24"/>
        </w:rPr>
        <w:t xml:space="preserve">, </w:t>
      </w:r>
      <w:r w:rsidR="00254D93">
        <w:rPr>
          <w:rFonts w:ascii="Book Antiqua" w:eastAsia="Calibri" w:hAnsi="Book Antiqua" w:cs="Times New Roman"/>
          <w:sz w:val="24"/>
        </w:rPr>
        <w:t xml:space="preserve"> </w:t>
      </w:r>
      <w:r w:rsidR="00CB5B73">
        <w:rPr>
          <w:rFonts w:ascii="Book Antiqua" w:eastAsia="Calibri" w:hAnsi="Book Antiqua" w:cs="Times New Roman"/>
          <w:sz w:val="24"/>
        </w:rPr>
        <w:t xml:space="preserve">one should expect </w:t>
      </w:r>
      <w:r w:rsidR="00F82F0A">
        <w:rPr>
          <w:rFonts w:ascii="Book Antiqua" w:eastAsia="Calibri" w:hAnsi="Book Antiqua" w:cs="Times New Roman"/>
          <w:i/>
          <w:sz w:val="24"/>
        </w:rPr>
        <w:t>communio</w:t>
      </w:r>
      <w:r w:rsidR="00CB5B73">
        <w:rPr>
          <w:rFonts w:ascii="Book Antiqua" w:eastAsia="Calibri" w:hAnsi="Book Antiqua" w:cs="Times New Roman"/>
          <w:sz w:val="24"/>
        </w:rPr>
        <w:t xml:space="preserve"> at every level of the church’s life.</w:t>
      </w:r>
      <w:r w:rsidR="00CB5B73">
        <w:rPr>
          <w:rStyle w:val="FootnoteReference"/>
          <w:rFonts w:ascii="Book Antiqua" w:eastAsia="Calibri" w:hAnsi="Book Antiqua" w:cs="Times New Roman"/>
          <w:sz w:val="24"/>
        </w:rPr>
        <w:footnoteReference w:id="32"/>
      </w:r>
      <w:r w:rsidR="00CB5B73">
        <w:rPr>
          <w:rFonts w:ascii="Book Antiqua" w:eastAsia="Calibri" w:hAnsi="Book Antiqua" w:cs="Times New Roman"/>
          <w:sz w:val="24"/>
        </w:rPr>
        <w:t xml:space="preserve">  </w:t>
      </w:r>
    </w:p>
    <w:p w14:paraId="5C4AAD79" w14:textId="30AF21CB" w:rsidR="008E7F17" w:rsidRDefault="00935AB6" w:rsidP="00DD2A7C">
      <w:pPr>
        <w:spacing w:line="360" w:lineRule="auto"/>
        <w:rPr>
          <w:rFonts w:ascii="Book Antiqua" w:eastAsia="Calibri" w:hAnsi="Book Antiqua" w:cs="Times New Roman"/>
          <w:sz w:val="24"/>
        </w:rPr>
      </w:pPr>
      <w:r>
        <w:rPr>
          <w:rFonts w:ascii="Book Antiqua" w:eastAsia="Calibri" w:hAnsi="Book Antiqua" w:cs="Times New Roman"/>
          <w:sz w:val="24"/>
        </w:rPr>
        <w:tab/>
      </w:r>
      <w:r w:rsidR="0053500F">
        <w:rPr>
          <w:rFonts w:ascii="Book Antiqua" w:eastAsia="Calibri" w:hAnsi="Book Antiqua" w:cs="Times New Roman"/>
          <w:sz w:val="24"/>
        </w:rPr>
        <w:t>Finally,</w:t>
      </w:r>
      <w:r>
        <w:rPr>
          <w:rFonts w:ascii="Book Antiqua" w:eastAsia="Calibri" w:hAnsi="Book Antiqua" w:cs="Times New Roman"/>
          <w:sz w:val="24"/>
        </w:rPr>
        <w:t xml:space="preserve"> Vatican II </w:t>
      </w:r>
      <w:r w:rsidR="006E7CA8">
        <w:rPr>
          <w:rFonts w:ascii="Book Antiqua" w:eastAsia="Calibri" w:hAnsi="Book Antiqua" w:cs="Times New Roman"/>
          <w:sz w:val="24"/>
        </w:rPr>
        <w:t>highlight</w:t>
      </w:r>
      <w:r w:rsidR="00B42645">
        <w:rPr>
          <w:rFonts w:ascii="Book Antiqua" w:eastAsia="Calibri" w:hAnsi="Book Antiqua" w:cs="Times New Roman"/>
          <w:sz w:val="24"/>
        </w:rPr>
        <w:t>ed</w:t>
      </w:r>
      <w:r>
        <w:rPr>
          <w:rFonts w:ascii="Book Antiqua" w:eastAsia="Calibri" w:hAnsi="Book Antiqua" w:cs="Times New Roman"/>
          <w:sz w:val="24"/>
        </w:rPr>
        <w:t xml:space="preserve"> a work of the Holy Spirit that </w:t>
      </w:r>
      <w:r w:rsidR="008E7F17">
        <w:rPr>
          <w:rFonts w:ascii="Book Antiqua" w:eastAsia="Calibri" w:hAnsi="Book Antiqua" w:cs="Times New Roman"/>
          <w:sz w:val="24"/>
        </w:rPr>
        <w:t>accompanies</w:t>
      </w:r>
      <w:r>
        <w:rPr>
          <w:rFonts w:ascii="Book Antiqua" w:eastAsia="Calibri" w:hAnsi="Book Antiqua" w:cs="Times New Roman"/>
          <w:sz w:val="24"/>
        </w:rPr>
        <w:t xml:space="preserve"> baptism and </w:t>
      </w:r>
      <w:r w:rsidR="00F43C8B">
        <w:rPr>
          <w:rFonts w:ascii="Book Antiqua" w:eastAsia="Calibri" w:hAnsi="Book Antiqua" w:cs="Times New Roman"/>
          <w:sz w:val="24"/>
        </w:rPr>
        <w:t>communion</w:t>
      </w:r>
      <w:r w:rsidR="0053500F">
        <w:rPr>
          <w:rFonts w:ascii="Book Antiqua" w:eastAsia="Calibri" w:hAnsi="Book Antiqua" w:cs="Times New Roman"/>
          <w:sz w:val="24"/>
        </w:rPr>
        <w:t xml:space="preserve">, </w:t>
      </w:r>
      <w:r w:rsidR="008E7F17">
        <w:rPr>
          <w:rFonts w:ascii="Book Antiqua" w:eastAsia="Calibri" w:hAnsi="Book Antiqua" w:cs="Times New Roman"/>
          <w:sz w:val="24"/>
        </w:rPr>
        <w:t xml:space="preserve">and that will sound familiar to readers of this chapter.  It is the anointing of every baptized Catholic person, clergy or lay, with the threefold office of Christ. </w:t>
      </w:r>
      <w:r w:rsidR="00092F06">
        <w:rPr>
          <w:rFonts w:ascii="Book Antiqua" w:eastAsia="Calibri" w:hAnsi="Book Antiqua" w:cs="Times New Roman"/>
          <w:sz w:val="24"/>
        </w:rPr>
        <w:t>“Lay people too, sharing in the priestly, prophetical and kingly office of Christ, play their part in the mission of the whole people of God in the church and in the world.”</w:t>
      </w:r>
      <w:r w:rsidR="008E7F17">
        <w:rPr>
          <w:rStyle w:val="FootnoteReference"/>
          <w:rFonts w:ascii="Book Antiqua" w:eastAsia="Calibri" w:hAnsi="Book Antiqua" w:cs="Times New Roman"/>
          <w:sz w:val="24"/>
        </w:rPr>
        <w:footnoteReference w:id="33"/>
      </w:r>
      <w:r w:rsidR="008E7F17">
        <w:rPr>
          <w:rFonts w:ascii="Book Antiqua" w:eastAsia="Calibri" w:hAnsi="Book Antiqua" w:cs="Times New Roman"/>
          <w:sz w:val="24"/>
        </w:rPr>
        <w:t xml:space="preserve">  </w:t>
      </w:r>
      <w:r w:rsidR="00092F06">
        <w:rPr>
          <w:rFonts w:ascii="Book Antiqua" w:eastAsia="Calibri" w:hAnsi="Book Antiqua" w:cs="Times New Roman"/>
          <w:sz w:val="24"/>
        </w:rPr>
        <w:t>The</w:t>
      </w:r>
      <w:r w:rsidR="008E7F17">
        <w:rPr>
          <w:rFonts w:ascii="Book Antiqua" w:eastAsia="Calibri" w:hAnsi="Book Antiqua" w:cs="Times New Roman"/>
          <w:sz w:val="24"/>
        </w:rPr>
        <w:t xml:space="preserve"> identification of lay people as priests, prophets and kings occurs frequently in </w:t>
      </w:r>
      <w:r w:rsidR="008E7F17" w:rsidRPr="00F07788">
        <w:rPr>
          <w:rFonts w:ascii="Book Antiqua" w:eastAsia="Calibri" w:hAnsi="Book Antiqua" w:cs="Times New Roman"/>
          <w:i/>
          <w:sz w:val="24"/>
        </w:rPr>
        <w:t>Lumen gentium</w:t>
      </w:r>
      <w:r w:rsidR="008E7F17">
        <w:rPr>
          <w:rFonts w:ascii="Book Antiqua" w:eastAsia="Calibri" w:hAnsi="Book Antiqua" w:cs="Times New Roman"/>
          <w:sz w:val="24"/>
        </w:rPr>
        <w:t xml:space="preserve">, especially in Chapter IV (“The Laity”). It is also essential to another Vatican II document: the Decree on the Apostolate of Lay People </w:t>
      </w:r>
      <w:r w:rsidR="008E7F17">
        <w:rPr>
          <w:rFonts w:ascii="Book Antiqua" w:eastAsia="Calibri" w:hAnsi="Book Antiqua" w:cs="Times New Roman"/>
          <w:sz w:val="24"/>
        </w:rPr>
        <w:lastRenderedPageBreak/>
        <w:t>(</w:t>
      </w:r>
      <w:r w:rsidR="008E7F17" w:rsidRPr="00F07788">
        <w:rPr>
          <w:rFonts w:ascii="Book Antiqua" w:eastAsia="Calibri" w:hAnsi="Book Antiqua" w:cs="Times New Roman"/>
          <w:i/>
          <w:sz w:val="24"/>
        </w:rPr>
        <w:t>Apostolicum actuositatem</w:t>
      </w:r>
      <w:r w:rsidR="008E7F17">
        <w:rPr>
          <w:rFonts w:ascii="Book Antiqua" w:eastAsia="Calibri" w:hAnsi="Book Antiqua" w:cs="Times New Roman"/>
          <w:sz w:val="24"/>
        </w:rPr>
        <w:t>).  Moving back and forth between these two Council documents, we encounter a uniquely Roman Catholic appropriation of the threefold office and can observe how it agrees with Calvin’s treatment of the image, and how it differs.</w:t>
      </w:r>
    </w:p>
    <w:p w14:paraId="15247943" w14:textId="15500FE1" w:rsidR="008F0598" w:rsidRDefault="008E7F17" w:rsidP="008E7F17">
      <w:pPr>
        <w:spacing w:line="360" w:lineRule="auto"/>
        <w:ind w:firstLine="720"/>
        <w:rPr>
          <w:rFonts w:ascii="Book Antiqua" w:eastAsia="Calibri" w:hAnsi="Book Antiqua" w:cs="Times New Roman"/>
          <w:sz w:val="24"/>
        </w:rPr>
      </w:pPr>
      <w:r>
        <w:rPr>
          <w:rFonts w:ascii="Book Antiqua" w:eastAsia="Calibri" w:hAnsi="Book Antiqua" w:cs="Times New Roman"/>
          <w:sz w:val="24"/>
        </w:rPr>
        <w:t>The bedrock similarity is that in both traditions, lay people share the chrism</w:t>
      </w:r>
      <w:r w:rsidR="00E038DF">
        <w:rPr>
          <w:rFonts w:ascii="Book Antiqua" w:eastAsia="Calibri" w:hAnsi="Book Antiqua" w:cs="Times New Roman"/>
          <w:sz w:val="24"/>
        </w:rPr>
        <w:t xml:space="preserve"> (the anointing)</w:t>
      </w:r>
      <w:r>
        <w:rPr>
          <w:rFonts w:ascii="Book Antiqua" w:eastAsia="Calibri" w:hAnsi="Book Antiqua" w:cs="Times New Roman"/>
          <w:sz w:val="24"/>
        </w:rPr>
        <w:t xml:space="preserve"> that makes the Christ.  They do so by baptism, through the free gift of the Holy Spirit.  This means that a Roman Catholic believer receives his anointing for </w:t>
      </w:r>
      <w:r w:rsidR="00E038DF">
        <w:rPr>
          <w:rFonts w:ascii="Book Antiqua" w:eastAsia="Calibri" w:hAnsi="Book Antiqua" w:cs="Times New Roman"/>
          <w:sz w:val="24"/>
        </w:rPr>
        <w:t xml:space="preserve">daily </w:t>
      </w:r>
      <w:r>
        <w:rPr>
          <w:rFonts w:ascii="Book Antiqua" w:eastAsia="Calibri" w:hAnsi="Book Antiqua" w:cs="Times New Roman"/>
          <w:sz w:val="24"/>
        </w:rPr>
        <w:t xml:space="preserve">ministry from Jesus Christ through the Spirit in the same way that a Calvinist does, and </w:t>
      </w:r>
      <w:r w:rsidRPr="008E7F17">
        <w:rPr>
          <w:rFonts w:ascii="Book Antiqua" w:eastAsia="Calibri" w:hAnsi="Book Antiqua" w:cs="Times New Roman"/>
          <w:i/>
          <w:sz w:val="24"/>
        </w:rPr>
        <w:t>not by delegation from the clergy</w:t>
      </w:r>
      <w:r>
        <w:rPr>
          <w:rFonts w:ascii="Book Antiqua" w:eastAsia="Calibri" w:hAnsi="Book Antiqua" w:cs="Times New Roman"/>
          <w:sz w:val="24"/>
        </w:rPr>
        <w:t>.</w:t>
      </w:r>
      <w:r>
        <w:rPr>
          <w:rStyle w:val="FootnoteReference"/>
          <w:rFonts w:ascii="Book Antiqua" w:eastAsia="Calibri" w:hAnsi="Book Antiqua" w:cs="Times New Roman"/>
          <w:sz w:val="24"/>
        </w:rPr>
        <w:footnoteReference w:id="34"/>
      </w:r>
      <w:r>
        <w:rPr>
          <w:rFonts w:ascii="Book Antiqua" w:eastAsia="Calibri" w:hAnsi="Book Antiqua" w:cs="Times New Roman"/>
          <w:sz w:val="24"/>
        </w:rPr>
        <w:t xml:space="preserve"> The importance of this insight for post-Vatican II</w:t>
      </w:r>
      <w:r w:rsidR="00F40FBB">
        <w:rPr>
          <w:rFonts w:ascii="Book Antiqua" w:eastAsia="Calibri" w:hAnsi="Book Antiqua" w:cs="Times New Roman"/>
          <w:sz w:val="24"/>
        </w:rPr>
        <w:t xml:space="preserve"> </w:t>
      </w:r>
      <w:r>
        <w:rPr>
          <w:rFonts w:ascii="Book Antiqua" w:eastAsia="Calibri" w:hAnsi="Book Antiqua" w:cs="Times New Roman"/>
          <w:sz w:val="24"/>
        </w:rPr>
        <w:t xml:space="preserve">Catholicism cannot be overstated.  </w:t>
      </w:r>
      <w:r w:rsidR="00092F06">
        <w:rPr>
          <w:rFonts w:ascii="Book Antiqua" w:eastAsia="Calibri" w:hAnsi="Book Antiqua" w:cs="Times New Roman"/>
          <w:sz w:val="24"/>
        </w:rPr>
        <w:t>Lay people have a mission in the church</w:t>
      </w:r>
      <w:r w:rsidR="007E1A2C">
        <w:rPr>
          <w:rFonts w:ascii="Book Antiqua" w:eastAsia="Calibri" w:hAnsi="Book Antiqua" w:cs="Times New Roman"/>
          <w:sz w:val="24"/>
        </w:rPr>
        <w:t xml:space="preserve"> and beyond</w:t>
      </w:r>
      <w:r w:rsidR="00092F06">
        <w:rPr>
          <w:rFonts w:ascii="Book Antiqua" w:eastAsia="Calibri" w:hAnsi="Book Antiqua" w:cs="Times New Roman"/>
          <w:sz w:val="24"/>
        </w:rPr>
        <w:t xml:space="preserve"> </w:t>
      </w:r>
      <w:r w:rsidR="0053093D">
        <w:rPr>
          <w:rFonts w:ascii="Book Antiqua" w:eastAsia="Calibri" w:hAnsi="Book Antiqua" w:cs="Times New Roman"/>
          <w:sz w:val="24"/>
        </w:rPr>
        <w:t xml:space="preserve">it </w:t>
      </w:r>
      <w:r w:rsidR="00092F06">
        <w:rPr>
          <w:rFonts w:ascii="Book Antiqua" w:eastAsia="Calibri" w:hAnsi="Book Antiqua" w:cs="Times New Roman"/>
          <w:sz w:val="24"/>
        </w:rPr>
        <w:t xml:space="preserve">that is ancient, indispensable and unique.  </w:t>
      </w:r>
      <w:r w:rsidR="008F0598">
        <w:rPr>
          <w:rFonts w:ascii="Book Antiqua" w:eastAsia="Calibri" w:hAnsi="Book Antiqua" w:cs="Times New Roman"/>
          <w:sz w:val="24"/>
        </w:rPr>
        <w:t xml:space="preserve">It is significant that </w:t>
      </w:r>
      <w:r w:rsidR="00E038DF">
        <w:rPr>
          <w:rFonts w:ascii="Book Antiqua" w:eastAsia="Calibri" w:hAnsi="Book Antiqua" w:cs="Times New Roman"/>
          <w:sz w:val="24"/>
        </w:rPr>
        <w:t>the</w:t>
      </w:r>
      <w:r w:rsidR="008F0598">
        <w:rPr>
          <w:rFonts w:ascii="Book Antiqua" w:eastAsia="Calibri" w:hAnsi="Book Antiqua" w:cs="Times New Roman"/>
          <w:sz w:val="24"/>
        </w:rPr>
        <w:t xml:space="preserve"> </w:t>
      </w:r>
      <w:r w:rsidR="00092F06">
        <w:rPr>
          <w:rFonts w:ascii="Book Antiqua" w:eastAsia="Calibri" w:hAnsi="Book Antiqua" w:cs="Times New Roman"/>
          <w:sz w:val="24"/>
        </w:rPr>
        <w:t xml:space="preserve">Council’s </w:t>
      </w:r>
      <w:r w:rsidR="008F0598">
        <w:rPr>
          <w:rFonts w:ascii="Book Antiqua" w:eastAsia="Calibri" w:hAnsi="Book Antiqua" w:cs="Times New Roman"/>
          <w:sz w:val="24"/>
        </w:rPr>
        <w:t xml:space="preserve">name for this mission is the “apostolate” of lay people.  In Roman Catholic theology, </w:t>
      </w:r>
      <w:r w:rsidR="00F82F0A">
        <w:rPr>
          <w:rFonts w:ascii="Book Antiqua" w:eastAsia="Calibri" w:hAnsi="Book Antiqua" w:cs="Times New Roman"/>
          <w:sz w:val="24"/>
        </w:rPr>
        <w:t>t</w:t>
      </w:r>
      <w:r w:rsidR="008F0598">
        <w:rPr>
          <w:rFonts w:ascii="Book Antiqua" w:eastAsia="Calibri" w:hAnsi="Book Antiqua" w:cs="Times New Roman"/>
          <w:sz w:val="24"/>
        </w:rPr>
        <w:t xml:space="preserve">he church’s existence depends </w:t>
      </w:r>
      <w:r w:rsidR="00E038DF">
        <w:rPr>
          <w:rFonts w:ascii="Book Antiqua" w:eastAsia="Calibri" w:hAnsi="Book Antiqua" w:cs="Times New Roman"/>
          <w:sz w:val="24"/>
        </w:rPr>
        <w:t>on all</w:t>
      </w:r>
      <w:r w:rsidR="008F0598">
        <w:rPr>
          <w:rFonts w:ascii="Book Antiqua" w:eastAsia="Calibri" w:hAnsi="Book Antiqua" w:cs="Times New Roman"/>
          <w:sz w:val="24"/>
        </w:rPr>
        <w:t xml:space="preserve"> twelve apostles </w:t>
      </w:r>
      <w:r w:rsidR="00E038DF">
        <w:rPr>
          <w:rFonts w:ascii="Book Antiqua" w:eastAsia="Calibri" w:hAnsi="Book Antiqua" w:cs="Times New Roman"/>
          <w:sz w:val="24"/>
        </w:rPr>
        <w:t>and</w:t>
      </w:r>
      <w:r w:rsidR="008F0598">
        <w:rPr>
          <w:rFonts w:ascii="Book Antiqua" w:eastAsia="Calibri" w:hAnsi="Book Antiqua" w:cs="Times New Roman"/>
          <w:sz w:val="24"/>
        </w:rPr>
        <w:t xml:space="preserve"> on “apostolic succession,” an unbroken chain</w:t>
      </w:r>
      <w:r w:rsidR="00E038DF">
        <w:rPr>
          <w:rFonts w:ascii="Book Antiqua" w:eastAsia="Calibri" w:hAnsi="Book Antiqua" w:cs="Times New Roman"/>
          <w:sz w:val="24"/>
        </w:rPr>
        <w:t xml:space="preserve"> of ordination</w:t>
      </w:r>
      <w:r w:rsidR="008F0598">
        <w:rPr>
          <w:rFonts w:ascii="Book Antiqua" w:eastAsia="Calibri" w:hAnsi="Book Antiqua" w:cs="Times New Roman"/>
          <w:sz w:val="24"/>
        </w:rPr>
        <w:t xml:space="preserve"> that goes back into time, connecting the priests and bishops of today with the apostles of yesterday, and therefore with the Person and Word of Jesus Christ.  </w:t>
      </w:r>
      <w:r w:rsidR="007E1A2C">
        <w:rPr>
          <w:rFonts w:ascii="Book Antiqua" w:eastAsia="Calibri" w:hAnsi="Book Antiqua" w:cs="Times New Roman"/>
          <w:sz w:val="24"/>
        </w:rPr>
        <w:t>With this ecclesiology in mind, it is easier to see the immense honor that Vatican II confers upon lay people.  No church is possible without the lay “apostolate,” just as none can exist without the apostolate of pastors.</w:t>
      </w:r>
      <w:r w:rsidR="0053093D">
        <w:rPr>
          <w:rFonts w:ascii="Book Antiqua" w:eastAsia="Calibri" w:hAnsi="Book Antiqua" w:cs="Times New Roman"/>
          <w:sz w:val="24"/>
        </w:rPr>
        <w:t xml:space="preserve">  </w:t>
      </w:r>
      <w:r w:rsidR="0053093D" w:rsidRPr="0053093D">
        <w:rPr>
          <w:rFonts w:ascii="Book Antiqua" w:eastAsia="Calibri" w:hAnsi="Book Antiqua" w:cs="Times New Roman"/>
          <w:sz w:val="24"/>
        </w:rPr>
        <w:t xml:space="preserve">After all, a lay person can and must bring the Gospel to places that might not be receptive to clergy.   </w:t>
      </w:r>
    </w:p>
    <w:p w14:paraId="487193CB" w14:textId="77777777" w:rsidR="00D46AB9" w:rsidRDefault="00092F06" w:rsidP="00D46AB9">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Of course, Catholic understanding of </w:t>
      </w:r>
      <w:r w:rsidR="007E1A2C">
        <w:rPr>
          <w:rFonts w:ascii="Book Antiqua" w:eastAsia="Calibri" w:hAnsi="Book Antiqua" w:cs="Times New Roman"/>
          <w:sz w:val="24"/>
        </w:rPr>
        <w:t>the threefold</w:t>
      </w:r>
      <w:r>
        <w:rPr>
          <w:rFonts w:ascii="Book Antiqua" w:eastAsia="Calibri" w:hAnsi="Book Antiqua" w:cs="Times New Roman"/>
          <w:sz w:val="24"/>
        </w:rPr>
        <w:t xml:space="preserve"> office is different than </w:t>
      </w:r>
      <w:r w:rsidR="007E1A2C">
        <w:rPr>
          <w:rFonts w:ascii="Book Antiqua" w:eastAsia="Calibri" w:hAnsi="Book Antiqua" w:cs="Times New Roman"/>
          <w:sz w:val="24"/>
        </w:rPr>
        <w:t>Calvin’s</w:t>
      </w:r>
      <w:r>
        <w:rPr>
          <w:rFonts w:ascii="Book Antiqua" w:eastAsia="Calibri" w:hAnsi="Book Antiqua" w:cs="Times New Roman"/>
          <w:sz w:val="24"/>
        </w:rPr>
        <w:t xml:space="preserve">.  </w:t>
      </w:r>
      <w:r w:rsidR="007E1A2C">
        <w:rPr>
          <w:rFonts w:ascii="Book Antiqua" w:eastAsia="Calibri" w:hAnsi="Book Antiqua" w:cs="Times New Roman"/>
          <w:sz w:val="24"/>
        </w:rPr>
        <w:t xml:space="preserve">In </w:t>
      </w:r>
      <w:r w:rsidRPr="00092F06">
        <w:rPr>
          <w:rFonts w:ascii="Book Antiqua" w:eastAsia="Calibri" w:hAnsi="Book Antiqua" w:cs="Times New Roman"/>
          <w:i/>
          <w:sz w:val="24"/>
        </w:rPr>
        <w:t>Lumen gentium</w:t>
      </w:r>
      <w:r>
        <w:rPr>
          <w:rFonts w:ascii="Book Antiqua" w:eastAsia="Calibri" w:hAnsi="Book Antiqua" w:cs="Times New Roman"/>
          <w:sz w:val="24"/>
        </w:rPr>
        <w:t xml:space="preserve"> every Catholic exercises a priestly function </w:t>
      </w:r>
      <w:r w:rsidR="007E1A2C">
        <w:rPr>
          <w:rFonts w:ascii="Book Antiqua" w:eastAsia="Calibri" w:hAnsi="Book Antiqua" w:cs="Times New Roman"/>
          <w:sz w:val="24"/>
        </w:rPr>
        <w:t>during the Mass, joining with</w:t>
      </w:r>
      <w:r>
        <w:rPr>
          <w:rFonts w:ascii="Book Antiqua" w:eastAsia="Calibri" w:hAnsi="Book Antiqua" w:cs="Times New Roman"/>
          <w:sz w:val="24"/>
        </w:rPr>
        <w:t xml:space="preserve"> the </w:t>
      </w:r>
      <w:r w:rsidR="007E1A2C">
        <w:rPr>
          <w:rFonts w:ascii="Book Antiqua" w:eastAsia="Calibri" w:hAnsi="Book Antiqua" w:cs="Times New Roman"/>
          <w:sz w:val="24"/>
        </w:rPr>
        <w:t xml:space="preserve">ordained </w:t>
      </w:r>
      <w:r>
        <w:rPr>
          <w:rFonts w:ascii="Book Antiqua" w:eastAsia="Calibri" w:hAnsi="Book Antiqua" w:cs="Times New Roman"/>
          <w:sz w:val="24"/>
        </w:rPr>
        <w:t xml:space="preserve">priest in offering </w:t>
      </w:r>
      <w:r w:rsidR="007E1A2C">
        <w:rPr>
          <w:rFonts w:ascii="Book Antiqua" w:eastAsia="Calibri" w:hAnsi="Book Antiqua" w:cs="Times New Roman"/>
          <w:sz w:val="24"/>
        </w:rPr>
        <w:t xml:space="preserve">Jesus </w:t>
      </w:r>
      <w:r>
        <w:rPr>
          <w:rFonts w:ascii="Book Antiqua" w:eastAsia="Calibri" w:hAnsi="Book Antiqua" w:cs="Times New Roman"/>
          <w:sz w:val="24"/>
        </w:rPr>
        <w:t>“the divine victim to God and themselves along with him.”</w:t>
      </w:r>
      <w:r>
        <w:rPr>
          <w:rStyle w:val="FootnoteReference"/>
          <w:rFonts w:ascii="Book Antiqua" w:eastAsia="Calibri" w:hAnsi="Book Antiqua" w:cs="Times New Roman"/>
          <w:sz w:val="24"/>
        </w:rPr>
        <w:footnoteReference w:id="35"/>
      </w:r>
      <w:r w:rsidR="007E1A2C">
        <w:rPr>
          <w:rFonts w:ascii="Book Antiqua" w:eastAsia="Calibri" w:hAnsi="Book Antiqua" w:cs="Times New Roman"/>
          <w:sz w:val="24"/>
        </w:rPr>
        <w:t xml:space="preserve">   Calvin </w:t>
      </w:r>
      <w:r w:rsidR="00D46AB9">
        <w:rPr>
          <w:rFonts w:ascii="Book Antiqua" w:eastAsia="Calibri" w:hAnsi="Book Antiqua" w:cs="Times New Roman"/>
          <w:sz w:val="24"/>
        </w:rPr>
        <w:t>would be</w:t>
      </w:r>
      <w:r w:rsidR="007E1A2C">
        <w:rPr>
          <w:rFonts w:ascii="Book Antiqua" w:eastAsia="Calibri" w:hAnsi="Book Antiqua" w:cs="Times New Roman"/>
          <w:sz w:val="24"/>
        </w:rPr>
        <w:t xml:space="preserve"> deeply uncomfortable with any description of the Lord’s Supper as </w:t>
      </w:r>
      <w:r w:rsidR="009A2649">
        <w:rPr>
          <w:rFonts w:ascii="Book Antiqua" w:eastAsia="Calibri" w:hAnsi="Book Antiqua" w:cs="Times New Roman"/>
          <w:sz w:val="24"/>
        </w:rPr>
        <w:t xml:space="preserve">a </w:t>
      </w:r>
      <w:r w:rsidR="007E1A2C">
        <w:rPr>
          <w:rFonts w:ascii="Book Antiqua" w:eastAsia="Calibri" w:hAnsi="Book Antiqua" w:cs="Times New Roman"/>
          <w:sz w:val="24"/>
        </w:rPr>
        <w:t xml:space="preserve">re-enactment (even </w:t>
      </w:r>
      <w:r w:rsidR="00D46AB9">
        <w:rPr>
          <w:rFonts w:ascii="Book Antiqua" w:eastAsia="Calibri" w:hAnsi="Book Antiqua" w:cs="Times New Roman"/>
          <w:sz w:val="24"/>
        </w:rPr>
        <w:t>symbolically</w:t>
      </w:r>
      <w:r w:rsidR="007E1A2C">
        <w:rPr>
          <w:rFonts w:ascii="Book Antiqua" w:eastAsia="Calibri" w:hAnsi="Book Antiqua" w:cs="Times New Roman"/>
          <w:sz w:val="24"/>
        </w:rPr>
        <w:t xml:space="preserve">) of the one, sufficient and unrepeatable death of Jesus.  </w:t>
      </w:r>
      <w:r w:rsidR="00FD63F8">
        <w:rPr>
          <w:rFonts w:ascii="Book Antiqua" w:eastAsia="Calibri" w:hAnsi="Book Antiqua" w:cs="Times New Roman"/>
          <w:sz w:val="24"/>
        </w:rPr>
        <w:t>There are also fundamental differences between Calvin’s understanding</w:t>
      </w:r>
      <w:r w:rsidR="00201925">
        <w:rPr>
          <w:rFonts w:ascii="Book Antiqua" w:eastAsia="Calibri" w:hAnsi="Book Antiqua" w:cs="Times New Roman"/>
          <w:sz w:val="24"/>
        </w:rPr>
        <w:t xml:space="preserve"> of the kingly anointing and the language of Vatican II.  </w:t>
      </w:r>
      <w:r w:rsidR="00201925">
        <w:rPr>
          <w:rFonts w:ascii="Book Antiqua" w:eastAsia="Calibri" w:hAnsi="Book Antiqua" w:cs="Times New Roman"/>
          <w:sz w:val="24"/>
        </w:rPr>
        <w:lastRenderedPageBreak/>
        <w:t xml:space="preserve">According to </w:t>
      </w:r>
      <w:r w:rsidR="00201925" w:rsidRPr="00201925">
        <w:rPr>
          <w:rFonts w:ascii="Book Antiqua" w:eastAsia="Calibri" w:hAnsi="Book Antiqua" w:cs="Times New Roman"/>
          <w:i/>
          <w:sz w:val="24"/>
        </w:rPr>
        <w:t>Lumen gentium</w:t>
      </w:r>
      <w:r w:rsidR="00201925">
        <w:rPr>
          <w:rFonts w:ascii="Book Antiqua" w:eastAsia="Calibri" w:hAnsi="Book Antiqua" w:cs="Times New Roman"/>
          <w:sz w:val="24"/>
        </w:rPr>
        <w:t>, “The Lord desires that his kingdom be spread by the lay faithful also: the kingdom of truth and life, the kingdom of holiness and grace, the kingdom of justice, love and peace.”</w:t>
      </w:r>
      <w:r w:rsidR="00201925">
        <w:rPr>
          <w:rStyle w:val="FootnoteReference"/>
          <w:rFonts w:ascii="Book Antiqua" w:eastAsia="Calibri" w:hAnsi="Book Antiqua" w:cs="Times New Roman"/>
          <w:sz w:val="24"/>
        </w:rPr>
        <w:footnoteReference w:id="36"/>
      </w:r>
      <w:r w:rsidR="00201925">
        <w:rPr>
          <w:rFonts w:ascii="Book Antiqua" w:eastAsia="Calibri" w:hAnsi="Book Antiqua" w:cs="Times New Roman"/>
          <w:sz w:val="24"/>
        </w:rPr>
        <w:t xml:space="preserve">  </w:t>
      </w:r>
      <w:r w:rsidR="00310024">
        <w:rPr>
          <w:rFonts w:ascii="Book Antiqua" w:eastAsia="Calibri" w:hAnsi="Book Antiqua" w:cs="Times New Roman"/>
          <w:sz w:val="24"/>
        </w:rPr>
        <w:t>Calvin tended rather to focus on the contrast between the coming kingdom and the harsher conditions of the present day</w:t>
      </w:r>
      <w:r w:rsidR="00D46AB9">
        <w:rPr>
          <w:rFonts w:ascii="Book Antiqua" w:eastAsia="Calibri" w:hAnsi="Book Antiqua" w:cs="Times New Roman"/>
          <w:sz w:val="24"/>
        </w:rPr>
        <w:t xml:space="preserve">.  </w:t>
      </w:r>
      <w:r w:rsidR="00D46AB9" w:rsidRPr="00D46AB9">
        <w:rPr>
          <w:rFonts w:ascii="Book Antiqua" w:eastAsia="Calibri" w:hAnsi="Book Antiqua" w:cs="Times New Roman"/>
          <w:sz w:val="24"/>
        </w:rPr>
        <w:t>“When any one of us hears that Christ’s kingship is spiritual, aroused by this word let him attain to the hope of a better life. . .let him await the full fruit of this grace in the age to come.”</w:t>
      </w:r>
      <w:r w:rsidR="00D46AB9">
        <w:rPr>
          <w:rStyle w:val="FootnoteReference"/>
          <w:rFonts w:ascii="Book Antiqua" w:eastAsia="Calibri" w:hAnsi="Book Antiqua" w:cs="Times New Roman"/>
          <w:sz w:val="24"/>
        </w:rPr>
        <w:footnoteReference w:id="37"/>
      </w:r>
      <w:r w:rsidR="00D46AB9" w:rsidRPr="00D46AB9">
        <w:rPr>
          <w:rFonts w:ascii="Book Antiqua" w:eastAsia="Calibri" w:hAnsi="Book Antiqua" w:cs="Times New Roman"/>
          <w:sz w:val="24"/>
        </w:rPr>
        <w:t xml:space="preserve"> </w:t>
      </w:r>
      <w:r w:rsidR="00D46AB9">
        <w:rPr>
          <w:rFonts w:ascii="Book Antiqua" w:eastAsia="Calibri" w:hAnsi="Book Antiqua" w:cs="Times New Roman"/>
          <w:sz w:val="24"/>
        </w:rPr>
        <w:t xml:space="preserve"> </w:t>
      </w:r>
    </w:p>
    <w:p w14:paraId="5FAA0E86" w14:textId="6A7D0AB7" w:rsidR="00987288" w:rsidRDefault="00D46AB9" w:rsidP="00D46AB9">
      <w:pPr>
        <w:spacing w:line="360" w:lineRule="auto"/>
        <w:ind w:firstLine="720"/>
        <w:rPr>
          <w:rFonts w:ascii="Book Antiqua" w:eastAsia="Calibri" w:hAnsi="Book Antiqua" w:cs="Times New Roman"/>
          <w:i/>
          <w:sz w:val="24"/>
        </w:rPr>
      </w:pPr>
      <w:r>
        <w:rPr>
          <w:rFonts w:ascii="Book Antiqua" w:eastAsia="Calibri" w:hAnsi="Book Antiqua" w:cs="Times New Roman"/>
          <w:sz w:val="24"/>
        </w:rPr>
        <w:t xml:space="preserve">Given their different treatments of the priestly and kingly functions of lay people, it is </w:t>
      </w:r>
      <w:r w:rsidR="00F82F0A">
        <w:rPr>
          <w:rFonts w:ascii="Book Antiqua" w:eastAsia="Calibri" w:hAnsi="Book Antiqua" w:cs="Times New Roman"/>
          <w:sz w:val="24"/>
        </w:rPr>
        <w:t>even more</w:t>
      </w:r>
      <w:r>
        <w:rPr>
          <w:rFonts w:ascii="Book Antiqua" w:eastAsia="Calibri" w:hAnsi="Book Antiqua" w:cs="Times New Roman"/>
          <w:sz w:val="24"/>
        </w:rPr>
        <w:t xml:space="preserve"> </w:t>
      </w:r>
      <w:r w:rsidR="00987288">
        <w:rPr>
          <w:rFonts w:ascii="Book Antiqua" w:eastAsia="Calibri" w:hAnsi="Book Antiqua" w:cs="Times New Roman"/>
          <w:sz w:val="24"/>
        </w:rPr>
        <w:t>intriguing</w:t>
      </w:r>
      <w:r>
        <w:rPr>
          <w:rFonts w:ascii="Book Antiqua" w:eastAsia="Calibri" w:hAnsi="Book Antiqua" w:cs="Times New Roman"/>
          <w:sz w:val="24"/>
        </w:rPr>
        <w:t xml:space="preserve"> that both traditions connect the prophetic anointing very strongly to </w:t>
      </w:r>
      <w:r w:rsidR="00987288">
        <w:rPr>
          <w:rFonts w:ascii="Book Antiqua" w:eastAsia="Calibri" w:hAnsi="Book Antiqua" w:cs="Times New Roman"/>
          <w:sz w:val="24"/>
        </w:rPr>
        <w:t>lay</w:t>
      </w:r>
      <w:r>
        <w:rPr>
          <w:rFonts w:ascii="Book Antiqua" w:eastAsia="Calibri" w:hAnsi="Book Antiqua" w:cs="Times New Roman"/>
          <w:sz w:val="24"/>
        </w:rPr>
        <w:t xml:space="preserve"> stewardship of doctrine.  </w:t>
      </w:r>
      <w:r w:rsidR="00634CBB">
        <w:rPr>
          <w:rFonts w:ascii="Book Antiqua" w:eastAsia="Calibri" w:hAnsi="Book Antiqua" w:cs="Times New Roman"/>
          <w:sz w:val="24"/>
        </w:rPr>
        <w:t>Remember that for Calvin, lay people had direct access to Jesus the Word through the written Word of the Bible, empowering them (like the Old Testament prophets) to hand down the “word” of solid doctrine in situation</w:t>
      </w:r>
      <w:r w:rsidR="00987288">
        <w:rPr>
          <w:rFonts w:ascii="Book Antiqua" w:eastAsia="Calibri" w:hAnsi="Book Antiqua" w:cs="Times New Roman"/>
          <w:sz w:val="24"/>
        </w:rPr>
        <w:t>s</w:t>
      </w:r>
      <w:r w:rsidR="00634CBB">
        <w:rPr>
          <w:rFonts w:ascii="Book Antiqua" w:eastAsia="Calibri" w:hAnsi="Book Antiqua" w:cs="Times New Roman"/>
          <w:sz w:val="24"/>
        </w:rPr>
        <w:t xml:space="preserve"> where </w:t>
      </w:r>
      <w:r w:rsidR="00987288">
        <w:rPr>
          <w:rFonts w:ascii="Book Antiqua" w:eastAsia="Calibri" w:hAnsi="Book Antiqua" w:cs="Times New Roman"/>
          <w:sz w:val="24"/>
        </w:rPr>
        <w:t xml:space="preserve">theological </w:t>
      </w:r>
      <w:r w:rsidR="00634CBB">
        <w:rPr>
          <w:rFonts w:ascii="Book Antiqua" w:eastAsia="Calibri" w:hAnsi="Book Antiqua" w:cs="Times New Roman"/>
          <w:sz w:val="24"/>
        </w:rPr>
        <w:t xml:space="preserve">discernment was needed.   </w:t>
      </w:r>
      <w:r w:rsidR="00634CBB" w:rsidRPr="00634CBB">
        <w:rPr>
          <w:rFonts w:ascii="Book Antiqua" w:eastAsia="Calibri" w:hAnsi="Book Antiqua" w:cs="Times New Roman"/>
          <w:i/>
          <w:sz w:val="24"/>
        </w:rPr>
        <w:t>Lumen gentium</w:t>
      </w:r>
      <w:r w:rsidR="00634CBB">
        <w:rPr>
          <w:rFonts w:ascii="Book Antiqua" w:eastAsia="Calibri" w:hAnsi="Book Antiqua" w:cs="Times New Roman"/>
          <w:i/>
          <w:sz w:val="24"/>
        </w:rPr>
        <w:t xml:space="preserve"> </w:t>
      </w:r>
      <w:r w:rsidR="00634CBB">
        <w:rPr>
          <w:rFonts w:ascii="Book Antiqua" w:eastAsia="Calibri" w:hAnsi="Book Antiqua" w:cs="Times New Roman"/>
          <w:sz w:val="24"/>
        </w:rPr>
        <w:t xml:space="preserve">asserts that </w:t>
      </w:r>
      <w:r w:rsidR="00E24A89">
        <w:rPr>
          <w:rFonts w:ascii="Book Antiqua" w:eastAsia="Calibri" w:hAnsi="Book Antiqua" w:cs="Times New Roman"/>
          <w:sz w:val="24"/>
        </w:rPr>
        <w:t xml:space="preserve">Jesus </w:t>
      </w:r>
      <w:r w:rsidR="00987288">
        <w:rPr>
          <w:rFonts w:ascii="Book Antiqua" w:eastAsia="Calibri" w:hAnsi="Book Antiqua" w:cs="Times New Roman"/>
          <w:sz w:val="24"/>
        </w:rPr>
        <w:t>Christ “</w:t>
      </w:r>
      <w:r w:rsidR="00634CBB">
        <w:rPr>
          <w:rFonts w:ascii="Book Antiqua" w:eastAsia="Calibri" w:hAnsi="Book Antiqua" w:cs="Times New Roman"/>
          <w:sz w:val="24"/>
        </w:rPr>
        <w:t xml:space="preserve">fulfills </w:t>
      </w:r>
      <w:r w:rsidR="00E24A89">
        <w:rPr>
          <w:rFonts w:ascii="Book Antiqua" w:eastAsia="Calibri" w:hAnsi="Book Antiqua" w:cs="Times New Roman"/>
          <w:sz w:val="24"/>
        </w:rPr>
        <w:t>[his]</w:t>
      </w:r>
      <w:r w:rsidR="00634CBB">
        <w:rPr>
          <w:rFonts w:ascii="Book Antiqua" w:eastAsia="Calibri" w:hAnsi="Book Antiqua" w:cs="Times New Roman"/>
          <w:sz w:val="24"/>
        </w:rPr>
        <w:t xml:space="preserve"> prophetic office, not only through the hierarchy who teach in his name and by his power, but also through the laity.”  </w:t>
      </w:r>
      <w:r w:rsidR="002E329D">
        <w:rPr>
          <w:rFonts w:ascii="Book Antiqua" w:eastAsia="Calibri" w:hAnsi="Book Antiqua" w:cs="Times New Roman"/>
          <w:sz w:val="24"/>
        </w:rPr>
        <w:t>Through the Holy Spirit, the</w:t>
      </w:r>
      <w:r w:rsidR="00E24A89">
        <w:rPr>
          <w:rFonts w:ascii="Book Antiqua" w:eastAsia="Calibri" w:hAnsi="Book Antiqua" w:cs="Times New Roman"/>
          <w:sz w:val="24"/>
        </w:rPr>
        <w:t xml:space="preserve"> Lord</w:t>
      </w:r>
      <w:r w:rsidR="00987288">
        <w:rPr>
          <w:rFonts w:ascii="Book Antiqua" w:eastAsia="Calibri" w:hAnsi="Book Antiqua" w:cs="Times New Roman"/>
          <w:sz w:val="24"/>
        </w:rPr>
        <w:t xml:space="preserve"> empowers lay people as his</w:t>
      </w:r>
      <w:r w:rsidR="00634CBB">
        <w:rPr>
          <w:rFonts w:ascii="Book Antiqua" w:eastAsia="Calibri" w:hAnsi="Book Antiqua" w:cs="Times New Roman"/>
          <w:sz w:val="24"/>
        </w:rPr>
        <w:t xml:space="preserve"> “witnesses” by giving them</w:t>
      </w:r>
      <w:r w:rsidR="00634CBB">
        <w:rPr>
          <w:rFonts w:ascii="Book Antiqua" w:eastAsia="Calibri" w:hAnsi="Book Antiqua" w:cs="Times New Roman"/>
          <w:i/>
          <w:sz w:val="24"/>
        </w:rPr>
        <w:t xml:space="preserve"> </w:t>
      </w:r>
      <w:r w:rsidR="00634CBB">
        <w:rPr>
          <w:rFonts w:ascii="Book Antiqua" w:eastAsia="Calibri" w:hAnsi="Book Antiqua" w:cs="Times New Roman"/>
          <w:sz w:val="24"/>
        </w:rPr>
        <w:t>“an appreciation of the faith” and “the grace of the word.”</w:t>
      </w:r>
      <w:r w:rsidR="00634CBB">
        <w:rPr>
          <w:rStyle w:val="FootnoteReference"/>
          <w:rFonts w:ascii="Book Antiqua" w:eastAsia="Calibri" w:hAnsi="Book Antiqua" w:cs="Times New Roman"/>
          <w:sz w:val="24"/>
        </w:rPr>
        <w:footnoteReference w:id="38"/>
      </w:r>
      <w:r w:rsidR="00634CBB">
        <w:rPr>
          <w:rFonts w:ascii="Book Antiqua" w:eastAsia="Calibri" w:hAnsi="Book Antiqua" w:cs="Times New Roman"/>
          <w:sz w:val="24"/>
        </w:rPr>
        <w:t xml:space="preserve">  </w:t>
      </w:r>
      <w:r w:rsidR="00987288">
        <w:rPr>
          <w:rFonts w:ascii="Book Antiqua" w:eastAsia="Calibri" w:hAnsi="Book Antiqua" w:cs="Times New Roman"/>
          <w:sz w:val="24"/>
        </w:rPr>
        <w:t xml:space="preserve">And so we arrive at the heart of a Roman Catholic theology of the laity.  </w:t>
      </w:r>
      <w:r w:rsidR="00634CBB">
        <w:rPr>
          <w:rFonts w:ascii="Book Antiqua" w:eastAsia="Calibri" w:hAnsi="Book Antiqua" w:cs="Times New Roman"/>
          <w:sz w:val="24"/>
        </w:rPr>
        <w:t xml:space="preserve">The Latin term intended by “appreciation of the faith” is </w:t>
      </w:r>
      <w:r w:rsidR="00634CBB" w:rsidRPr="00634CBB">
        <w:rPr>
          <w:rFonts w:ascii="Book Antiqua" w:eastAsia="Calibri" w:hAnsi="Book Antiqua" w:cs="Times New Roman"/>
          <w:i/>
          <w:sz w:val="24"/>
        </w:rPr>
        <w:t>sensus fidei</w:t>
      </w:r>
      <w:r w:rsidR="00634CBB">
        <w:rPr>
          <w:rFonts w:ascii="Book Antiqua" w:eastAsia="Calibri" w:hAnsi="Book Antiqua" w:cs="Times New Roman"/>
          <w:sz w:val="24"/>
        </w:rPr>
        <w:t xml:space="preserve">, sometimes expressed as </w:t>
      </w:r>
      <w:r w:rsidR="00634CBB" w:rsidRPr="00634CBB">
        <w:rPr>
          <w:rFonts w:ascii="Book Antiqua" w:eastAsia="Calibri" w:hAnsi="Book Antiqua" w:cs="Times New Roman"/>
          <w:i/>
          <w:sz w:val="24"/>
        </w:rPr>
        <w:t>sensus fidelium</w:t>
      </w:r>
      <w:r w:rsidR="00634CBB">
        <w:rPr>
          <w:rFonts w:ascii="Book Antiqua" w:eastAsia="Calibri" w:hAnsi="Book Antiqua" w:cs="Times New Roman"/>
          <w:sz w:val="24"/>
        </w:rPr>
        <w:t>, “the sense of the faithful.”</w:t>
      </w:r>
      <w:r w:rsidR="00987288">
        <w:rPr>
          <w:rFonts w:ascii="Book Antiqua" w:eastAsia="Calibri" w:hAnsi="Book Antiqua" w:cs="Times New Roman"/>
          <w:sz w:val="24"/>
        </w:rPr>
        <w:t xml:space="preserve">  By means of the </w:t>
      </w:r>
      <w:r w:rsidR="00987288" w:rsidRPr="00987288">
        <w:rPr>
          <w:rFonts w:ascii="Book Antiqua" w:eastAsia="Calibri" w:hAnsi="Book Antiqua" w:cs="Times New Roman"/>
          <w:i/>
          <w:sz w:val="24"/>
        </w:rPr>
        <w:t>sensus fidei</w:t>
      </w:r>
    </w:p>
    <w:p w14:paraId="56720A18" w14:textId="5FB88944" w:rsidR="00987288" w:rsidRDefault="00987288" w:rsidP="00D92DFE">
      <w:pPr>
        <w:spacing w:line="360" w:lineRule="auto"/>
        <w:ind w:left="720"/>
        <w:rPr>
          <w:rFonts w:ascii="Book Antiqua" w:eastAsia="Calibri" w:hAnsi="Book Antiqua" w:cs="Times New Roman"/>
          <w:sz w:val="24"/>
        </w:rPr>
      </w:pPr>
      <w:r w:rsidRPr="00DA26F4">
        <w:rPr>
          <w:rFonts w:ascii="Book Antiqua" w:eastAsia="Calibri" w:hAnsi="Book Antiqua" w:cs="Times New Roman"/>
          <w:sz w:val="24"/>
        </w:rPr>
        <w:t>the people of God, guided by the sacred magisterium which it faithfully obeys, receives not the word of human being, but truly the word of God. . . The people unfailingly adheres to this faith, penetrates it more deeply through right judgment, and applies it more fully in daily life</w:t>
      </w:r>
      <w:r>
        <w:rPr>
          <w:rFonts w:ascii="Book Antiqua" w:eastAsia="Calibri" w:hAnsi="Book Antiqua" w:cs="Times New Roman"/>
          <w:sz w:val="24"/>
        </w:rPr>
        <w:t>.</w:t>
      </w:r>
      <w:r>
        <w:rPr>
          <w:rStyle w:val="FootnoteReference"/>
          <w:rFonts w:ascii="Book Antiqua" w:eastAsia="Calibri" w:hAnsi="Book Antiqua" w:cs="Times New Roman"/>
          <w:sz w:val="24"/>
        </w:rPr>
        <w:footnoteReference w:id="39"/>
      </w:r>
    </w:p>
    <w:p w14:paraId="133EE7CA" w14:textId="66A63F3C" w:rsidR="00425C0D" w:rsidRDefault="00F0458A" w:rsidP="00807796">
      <w:pPr>
        <w:spacing w:line="360" w:lineRule="auto"/>
        <w:ind w:firstLine="720"/>
        <w:rPr>
          <w:rFonts w:ascii="Book Antiqua" w:eastAsia="Calibri" w:hAnsi="Book Antiqua" w:cs="Times New Roman"/>
          <w:sz w:val="24"/>
        </w:rPr>
      </w:pPr>
      <w:r>
        <w:rPr>
          <w:rFonts w:ascii="Book Antiqua" w:eastAsia="Calibri" w:hAnsi="Book Antiqua" w:cs="Times New Roman"/>
          <w:sz w:val="24"/>
        </w:rPr>
        <w:lastRenderedPageBreak/>
        <w:t xml:space="preserve">In the Preface, I argued that theology belongs to the Church.  The concept of the </w:t>
      </w:r>
      <w:r w:rsidRPr="00F0458A">
        <w:rPr>
          <w:rFonts w:ascii="Book Antiqua" w:eastAsia="Calibri" w:hAnsi="Book Antiqua" w:cs="Times New Roman"/>
          <w:i/>
          <w:sz w:val="24"/>
        </w:rPr>
        <w:t>sensus fidei</w:t>
      </w:r>
      <w:r>
        <w:rPr>
          <w:rFonts w:ascii="Book Antiqua" w:eastAsia="Calibri" w:hAnsi="Book Antiqua" w:cs="Times New Roman"/>
          <w:i/>
          <w:sz w:val="24"/>
        </w:rPr>
        <w:t xml:space="preserve"> </w:t>
      </w:r>
      <w:r>
        <w:rPr>
          <w:rFonts w:ascii="Book Antiqua" w:eastAsia="Calibri" w:hAnsi="Book Antiqua" w:cs="Times New Roman"/>
          <w:sz w:val="24"/>
        </w:rPr>
        <w:t xml:space="preserve">is a Catholic way of articulating the same point.  It is not a new concept invented by twentieth-century theologians, </w:t>
      </w:r>
      <w:r w:rsidR="00807796">
        <w:rPr>
          <w:rFonts w:ascii="Book Antiqua" w:eastAsia="Calibri" w:hAnsi="Book Antiqua" w:cs="Times New Roman"/>
          <w:sz w:val="24"/>
        </w:rPr>
        <w:t xml:space="preserve">for </w:t>
      </w:r>
      <w:r>
        <w:rPr>
          <w:rFonts w:ascii="Book Antiqua" w:eastAsia="Calibri" w:hAnsi="Book Antiqua" w:cs="Times New Roman"/>
          <w:sz w:val="24"/>
        </w:rPr>
        <w:t>it has roots in the theology of the early church</w:t>
      </w:r>
      <w:r w:rsidR="00216D8D">
        <w:rPr>
          <w:rFonts w:ascii="Book Antiqua" w:eastAsia="Calibri" w:hAnsi="Book Antiqua" w:cs="Times New Roman"/>
          <w:sz w:val="24"/>
        </w:rPr>
        <w:t>.  Vincent of Lerins (5</w:t>
      </w:r>
      <w:r w:rsidR="00216D8D" w:rsidRPr="00216D8D">
        <w:rPr>
          <w:rFonts w:ascii="Book Antiqua" w:eastAsia="Calibri" w:hAnsi="Book Antiqua" w:cs="Times New Roman"/>
          <w:sz w:val="24"/>
          <w:vertAlign w:val="superscript"/>
        </w:rPr>
        <w:t>th</w:t>
      </w:r>
      <w:r w:rsidR="00216D8D">
        <w:rPr>
          <w:rFonts w:ascii="Book Antiqua" w:eastAsia="Calibri" w:hAnsi="Book Antiqua" w:cs="Times New Roman"/>
          <w:sz w:val="24"/>
        </w:rPr>
        <w:t xml:space="preserve"> century) famously asserted that the best protection against harmful doctrine was to “hold </w:t>
      </w:r>
      <w:r w:rsidR="00216D8D" w:rsidRPr="00216D8D">
        <w:rPr>
          <w:rFonts w:ascii="Book Antiqua" w:eastAsia="Calibri" w:hAnsi="Book Antiqua" w:cs="Times New Roman"/>
          <w:sz w:val="24"/>
        </w:rPr>
        <w:t>that faith which has been believed everywhere, always, by all.</w:t>
      </w:r>
      <w:r w:rsidR="00216D8D">
        <w:rPr>
          <w:rFonts w:ascii="Book Antiqua" w:eastAsia="Calibri" w:hAnsi="Book Antiqua" w:cs="Times New Roman"/>
          <w:sz w:val="24"/>
        </w:rPr>
        <w:t>”</w:t>
      </w:r>
      <w:r w:rsidR="00216D8D">
        <w:rPr>
          <w:rStyle w:val="FootnoteReference"/>
          <w:rFonts w:ascii="Book Antiqua" w:eastAsia="Calibri" w:hAnsi="Book Antiqua" w:cs="Times New Roman"/>
          <w:sz w:val="24"/>
        </w:rPr>
        <w:footnoteReference w:id="40"/>
      </w:r>
      <w:r w:rsidR="00216D8D">
        <w:rPr>
          <w:rFonts w:ascii="Book Antiqua" w:eastAsia="Calibri" w:hAnsi="Book Antiqua" w:cs="Times New Roman"/>
          <w:sz w:val="24"/>
        </w:rPr>
        <w:t xml:space="preserve">  Vincent’s third criterion of catholicity, which he called “consent,” comes closest to a contemporary Catholic understanding of the </w:t>
      </w:r>
      <w:r w:rsidR="00216D8D" w:rsidRPr="00216D8D">
        <w:rPr>
          <w:rFonts w:ascii="Book Antiqua" w:eastAsia="Calibri" w:hAnsi="Book Antiqua" w:cs="Times New Roman"/>
          <w:i/>
          <w:sz w:val="24"/>
        </w:rPr>
        <w:t>sensus fidei</w:t>
      </w:r>
      <w:r w:rsidR="00216D8D">
        <w:rPr>
          <w:rFonts w:ascii="Book Antiqua" w:eastAsia="Calibri" w:hAnsi="Book Antiqua" w:cs="Times New Roman"/>
          <w:sz w:val="24"/>
        </w:rPr>
        <w:t xml:space="preserve"> as involving theological judgment.   </w:t>
      </w:r>
      <w:r w:rsidR="00587802">
        <w:rPr>
          <w:rFonts w:ascii="Book Antiqua" w:eastAsia="Calibri" w:hAnsi="Book Antiqua" w:cs="Times New Roman"/>
          <w:sz w:val="24"/>
        </w:rPr>
        <w:t xml:space="preserve">In any case, Vatican II made it clear that the judgment of doctrine is not confined to the “sacred magisterium,” which is the official teaching body of the Catholic community.   Exactly what the </w:t>
      </w:r>
      <w:r w:rsidR="00587802" w:rsidRPr="00587802">
        <w:rPr>
          <w:rFonts w:ascii="Book Antiqua" w:eastAsia="Calibri" w:hAnsi="Book Antiqua" w:cs="Times New Roman"/>
          <w:i/>
          <w:sz w:val="24"/>
        </w:rPr>
        <w:t>sensus fidei</w:t>
      </w:r>
      <w:r w:rsidR="00587802">
        <w:rPr>
          <w:rFonts w:ascii="Book Antiqua" w:eastAsia="Calibri" w:hAnsi="Book Antiqua" w:cs="Times New Roman"/>
          <w:sz w:val="24"/>
        </w:rPr>
        <w:t xml:space="preserve"> is, and its relationship to the decisions of the magisterium, has been hotly debated ever since.   </w:t>
      </w:r>
      <w:r w:rsidR="00807796">
        <w:rPr>
          <w:rFonts w:ascii="Book Antiqua" w:eastAsia="Calibri" w:hAnsi="Book Antiqua" w:cs="Times New Roman"/>
          <w:sz w:val="24"/>
        </w:rPr>
        <w:t xml:space="preserve">What is the right balance for a church that is hierarchical </w:t>
      </w:r>
      <w:r w:rsidR="00807796" w:rsidRPr="00807796">
        <w:rPr>
          <w:rFonts w:ascii="Book Antiqua" w:eastAsia="Calibri" w:hAnsi="Book Antiqua" w:cs="Times New Roman"/>
          <w:b/>
          <w:sz w:val="24"/>
        </w:rPr>
        <w:t>and</w:t>
      </w:r>
      <w:r w:rsidR="00807796">
        <w:rPr>
          <w:rFonts w:ascii="Book Antiqua" w:eastAsia="Calibri" w:hAnsi="Book Antiqua" w:cs="Times New Roman"/>
          <w:sz w:val="24"/>
        </w:rPr>
        <w:t xml:space="preserve"> communal, that is constituted of a ruling apostolate </w:t>
      </w:r>
      <w:r w:rsidR="00807796" w:rsidRPr="00807796">
        <w:rPr>
          <w:rFonts w:ascii="Book Antiqua" w:eastAsia="Calibri" w:hAnsi="Book Antiqua" w:cs="Times New Roman"/>
          <w:b/>
          <w:sz w:val="24"/>
        </w:rPr>
        <w:t>and</w:t>
      </w:r>
      <w:r w:rsidR="00807796">
        <w:rPr>
          <w:rFonts w:ascii="Book Antiqua" w:eastAsia="Calibri" w:hAnsi="Book Antiqua" w:cs="Times New Roman"/>
          <w:b/>
          <w:sz w:val="24"/>
        </w:rPr>
        <w:t xml:space="preserve"> </w:t>
      </w:r>
      <w:r w:rsidR="00807796">
        <w:rPr>
          <w:rFonts w:ascii="Book Antiqua" w:eastAsia="Calibri" w:hAnsi="Book Antiqua" w:cs="Times New Roman"/>
          <w:sz w:val="24"/>
        </w:rPr>
        <w:t xml:space="preserve">a lay apostolate, that calls laity to be both obedient </w:t>
      </w:r>
      <w:r w:rsidR="00807796" w:rsidRPr="00807796">
        <w:rPr>
          <w:rFonts w:ascii="Book Antiqua" w:eastAsia="Calibri" w:hAnsi="Book Antiqua" w:cs="Times New Roman"/>
          <w:b/>
          <w:sz w:val="24"/>
        </w:rPr>
        <w:t>and</w:t>
      </w:r>
      <w:r w:rsidR="00807796">
        <w:rPr>
          <w:rFonts w:ascii="Book Antiqua" w:eastAsia="Calibri" w:hAnsi="Book Antiqua" w:cs="Times New Roman"/>
          <w:sz w:val="24"/>
        </w:rPr>
        <w:t xml:space="preserve"> independent?  Catholics struggle</w:t>
      </w:r>
      <w:r w:rsidR="00E24A89">
        <w:rPr>
          <w:rFonts w:ascii="Book Antiqua" w:eastAsia="Calibri" w:hAnsi="Book Antiqua" w:cs="Times New Roman"/>
          <w:sz w:val="24"/>
        </w:rPr>
        <w:t xml:space="preserve"> daily</w:t>
      </w:r>
      <w:r w:rsidR="00807796">
        <w:rPr>
          <w:rFonts w:ascii="Book Antiqua" w:eastAsia="Calibri" w:hAnsi="Book Antiqua" w:cs="Times New Roman"/>
          <w:sz w:val="24"/>
        </w:rPr>
        <w:t xml:space="preserve"> to live up to </w:t>
      </w:r>
      <w:r w:rsidR="00E24A89">
        <w:rPr>
          <w:rFonts w:ascii="Book Antiqua" w:eastAsia="Calibri" w:hAnsi="Book Antiqua" w:cs="Times New Roman"/>
          <w:sz w:val="24"/>
        </w:rPr>
        <w:t>such exhortations as we find in</w:t>
      </w:r>
      <w:r w:rsidR="00807796">
        <w:rPr>
          <w:rFonts w:ascii="Book Antiqua" w:eastAsia="Calibri" w:hAnsi="Book Antiqua" w:cs="Times New Roman"/>
          <w:sz w:val="24"/>
        </w:rPr>
        <w:t xml:space="preserve"> </w:t>
      </w:r>
      <w:r w:rsidR="00807796" w:rsidRPr="00807796">
        <w:rPr>
          <w:rFonts w:ascii="Book Antiqua" w:eastAsia="Calibri" w:hAnsi="Book Antiqua" w:cs="Times New Roman"/>
          <w:i/>
          <w:sz w:val="24"/>
        </w:rPr>
        <w:t>Apostolicum actuositatem</w:t>
      </w:r>
      <w:r w:rsidR="00807796">
        <w:rPr>
          <w:rFonts w:ascii="Book Antiqua" w:eastAsia="Calibri" w:hAnsi="Book Antiqua" w:cs="Times New Roman"/>
          <w:sz w:val="24"/>
        </w:rPr>
        <w:t xml:space="preserve">, which call them to </w:t>
      </w:r>
      <w:r w:rsidR="00807796" w:rsidRPr="00DA26F4">
        <w:rPr>
          <w:rFonts w:ascii="Book Antiqua" w:eastAsia="Calibri" w:hAnsi="Book Antiqua" w:cs="Times New Roman"/>
          <w:sz w:val="24"/>
        </w:rPr>
        <w:t>exercise “their rightful freedom to act on their own initiative</w:t>
      </w:r>
      <w:r w:rsidR="00425C0D">
        <w:rPr>
          <w:rFonts w:ascii="Book Antiqua" w:eastAsia="Calibri" w:hAnsi="Book Antiqua" w:cs="Times New Roman"/>
          <w:sz w:val="24"/>
        </w:rPr>
        <w:t>”</w:t>
      </w:r>
      <w:r w:rsidR="00807796" w:rsidRPr="00DA26F4">
        <w:rPr>
          <w:rFonts w:ascii="Book Antiqua" w:eastAsia="Calibri" w:hAnsi="Book Antiqua" w:cs="Times New Roman"/>
          <w:sz w:val="24"/>
        </w:rPr>
        <w:t xml:space="preserve"> while simultaneously living “under the direction of the hierarchy</w:t>
      </w:r>
      <w:r w:rsidR="00425C0D">
        <w:rPr>
          <w:rFonts w:ascii="Book Antiqua" w:eastAsia="Calibri" w:hAnsi="Book Antiqua" w:cs="Times New Roman"/>
          <w:sz w:val="24"/>
        </w:rPr>
        <w:t>.”</w:t>
      </w:r>
      <w:r w:rsidR="00425C0D">
        <w:rPr>
          <w:rStyle w:val="FootnoteReference"/>
          <w:rFonts w:ascii="Book Antiqua" w:eastAsia="Calibri" w:hAnsi="Book Antiqua" w:cs="Times New Roman"/>
          <w:sz w:val="24"/>
        </w:rPr>
        <w:footnoteReference w:id="41"/>
      </w:r>
    </w:p>
    <w:p w14:paraId="53736CF6" w14:textId="26F1D944" w:rsidR="00425C0D" w:rsidRPr="00807796" w:rsidRDefault="00425C0D" w:rsidP="00425C0D">
      <w:pPr>
        <w:spacing w:line="360" w:lineRule="auto"/>
        <w:ind w:firstLine="720"/>
        <w:rPr>
          <w:rFonts w:ascii="Book Antiqua" w:eastAsia="Calibri" w:hAnsi="Book Antiqua" w:cs="Times New Roman"/>
          <w:sz w:val="24"/>
        </w:rPr>
      </w:pPr>
      <w:r>
        <w:rPr>
          <w:rFonts w:ascii="Book Antiqua" w:eastAsia="Calibri" w:hAnsi="Book Antiqua" w:cs="Times New Roman"/>
          <w:sz w:val="24"/>
        </w:rPr>
        <w:t>Whatever difficulties may have ensued, there is no doubt that the Council fathers affirmed the doctrinal judgment of lay people, and that they did so in connection with the prophetic office of Christ.  Many Catholic lay people look with envy on the more democratic structures of the Protestant churches, where to grow up into full priestly, kingly and prophetic stature seems an easier proposition.  The reality is</w:t>
      </w:r>
      <w:r w:rsidR="00E24A89">
        <w:rPr>
          <w:rFonts w:ascii="Book Antiqua" w:eastAsia="Calibri" w:hAnsi="Book Antiqua" w:cs="Times New Roman"/>
          <w:sz w:val="24"/>
        </w:rPr>
        <w:t xml:space="preserve"> even when they do exercise stewardship of doctrine,</w:t>
      </w:r>
      <w:r>
        <w:rPr>
          <w:rFonts w:ascii="Book Antiqua" w:eastAsia="Calibri" w:hAnsi="Book Antiqua" w:cs="Times New Roman"/>
          <w:sz w:val="24"/>
        </w:rPr>
        <w:t xml:space="preserve"> lay people in both Reformed and Catholic settings are dependent on the legitimation of wider church structures to verify the judgments that they have made.  We will talk about this problem of legitimation in the next section.</w:t>
      </w:r>
    </w:p>
    <w:p w14:paraId="611582B7" w14:textId="271B3327" w:rsidR="00E24A89" w:rsidRPr="00E24A89" w:rsidRDefault="00E24A89" w:rsidP="00E24A89">
      <w:pPr>
        <w:pStyle w:val="Heading2"/>
        <w:rPr>
          <w:rFonts w:ascii="Book Antiqua" w:eastAsia="Times New Roman" w:hAnsi="Book Antiqua"/>
          <w:color w:val="auto"/>
          <w:sz w:val="28"/>
        </w:rPr>
      </w:pPr>
      <w:bookmarkStart w:id="10" w:name="_Toc523909729"/>
      <w:r w:rsidRPr="00E24A89">
        <w:rPr>
          <w:rFonts w:ascii="Book Antiqua" w:eastAsia="Times New Roman" w:hAnsi="Book Antiqua"/>
          <w:color w:val="auto"/>
          <w:sz w:val="28"/>
        </w:rPr>
        <w:lastRenderedPageBreak/>
        <w:t>Cultural Obstacles</w:t>
      </w:r>
      <w:r>
        <w:rPr>
          <w:rFonts w:ascii="Book Antiqua" w:eastAsia="Times New Roman" w:hAnsi="Book Antiqua"/>
          <w:color w:val="auto"/>
          <w:sz w:val="28"/>
        </w:rPr>
        <w:t xml:space="preserve"> to Local Ecumenical Dialogue</w:t>
      </w:r>
      <w:bookmarkEnd w:id="10"/>
      <w:r w:rsidRPr="00E24A89">
        <w:rPr>
          <w:rFonts w:ascii="Book Antiqua" w:eastAsia="Times New Roman" w:hAnsi="Book Antiqua"/>
          <w:color w:val="auto"/>
          <w:sz w:val="28"/>
        </w:rPr>
        <w:t xml:space="preserve"> </w:t>
      </w:r>
    </w:p>
    <w:p w14:paraId="1087C716" w14:textId="09C4FBC0" w:rsidR="00E24A89" w:rsidRDefault="00E24A89" w:rsidP="00C03D99">
      <w:pPr>
        <w:spacing w:line="360" w:lineRule="auto"/>
        <w:rPr>
          <w:rFonts w:ascii="Book Antiqua" w:eastAsia="Calibri" w:hAnsi="Book Antiqua" w:cs="Times New Roman"/>
          <w:sz w:val="24"/>
        </w:rPr>
      </w:pPr>
    </w:p>
    <w:p w14:paraId="64FABB8E" w14:textId="3CE45D60" w:rsidR="00E24A89" w:rsidRDefault="00E24A89" w:rsidP="00C03D99">
      <w:pPr>
        <w:spacing w:line="360" w:lineRule="auto"/>
        <w:rPr>
          <w:rFonts w:ascii="Book Antiqua" w:eastAsia="Calibri" w:hAnsi="Book Antiqua" w:cs="Times New Roman"/>
          <w:sz w:val="24"/>
        </w:rPr>
      </w:pPr>
      <w:r>
        <w:rPr>
          <w:rFonts w:ascii="Book Antiqua" w:eastAsia="Calibri" w:hAnsi="Book Antiqua" w:cs="Times New Roman"/>
          <w:sz w:val="24"/>
        </w:rPr>
        <w:tab/>
        <w:t xml:space="preserve">The purpose of the above section was to argue that, whether you are a Calvinist or a Roman Catholic, as a lay person you have the ability and the responsibility to make sound judgments about the teachings of the church to which you belong.  One of the most exciting developments of Vatican II was the </w:t>
      </w:r>
      <w:r w:rsidR="00C4512F">
        <w:rPr>
          <w:rFonts w:ascii="Book Antiqua" w:eastAsia="Calibri" w:hAnsi="Book Antiqua" w:cs="Times New Roman"/>
          <w:sz w:val="24"/>
        </w:rPr>
        <w:t xml:space="preserve">explicit connection </w:t>
      </w:r>
      <w:r w:rsidR="008265F0">
        <w:rPr>
          <w:rFonts w:ascii="Book Antiqua" w:eastAsia="Calibri" w:hAnsi="Book Antiqua" w:cs="Times New Roman"/>
          <w:sz w:val="24"/>
        </w:rPr>
        <w:t>it made between</w:t>
      </w:r>
      <w:r>
        <w:rPr>
          <w:rFonts w:ascii="Book Antiqua" w:eastAsia="Calibri" w:hAnsi="Book Antiqua" w:cs="Times New Roman"/>
          <w:sz w:val="24"/>
        </w:rPr>
        <w:t xml:space="preserve"> this stewardship of doctrine </w:t>
      </w:r>
      <w:r w:rsidR="008265F0">
        <w:rPr>
          <w:rFonts w:ascii="Book Antiqua" w:eastAsia="Calibri" w:hAnsi="Book Antiqua" w:cs="Times New Roman"/>
          <w:sz w:val="24"/>
        </w:rPr>
        <w:t>and</w:t>
      </w:r>
      <w:r>
        <w:rPr>
          <w:rFonts w:ascii="Book Antiqua" w:eastAsia="Calibri" w:hAnsi="Book Antiqua" w:cs="Times New Roman"/>
          <w:sz w:val="24"/>
        </w:rPr>
        <w:t xml:space="preserve"> the act of dialogue—both ecumenical dialogue and the dialogue with other faiths. </w:t>
      </w:r>
      <w:r w:rsidR="007A004A">
        <w:rPr>
          <w:rFonts w:ascii="Book Antiqua" w:eastAsia="Calibri" w:hAnsi="Book Antiqua" w:cs="Times New Roman"/>
          <w:sz w:val="24"/>
        </w:rPr>
        <w:t xml:space="preserve"> “Catholics should be ready to collaborate with all men and women of good will. . . They are to enter into dialogue with them, approaching them with understanding and courtesy”.</w:t>
      </w:r>
      <w:r w:rsidR="007A004A">
        <w:rPr>
          <w:rStyle w:val="FootnoteReference"/>
          <w:rFonts w:ascii="Book Antiqua" w:eastAsia="Calibri" w:hAnsi="Book Antiqua" w:cs="Times New Roman"/>
          <w:sz w:val="24"/>
        </w:rPr>
        <w:footnoteReference w:id="42"/>
      </w:r>
      <w:r>
        <w:rPr>
          <w:rFonts w:ascii="Book Antiqua" w:eastAsia="Calibri" w:hAnsi="Book Antiqua" w:cs="Times New Roman"/>
          <w:sz w:val="24"/>
        </w:rPr>
        <w:t xml:space="preserve"> </w:t>
      </w:r>
      <w:r w:rsidR="008265F0">
        <w:rPr>
          <w:rFonts w:ascii="Book Antiqua" w:eastAsia="Calibri" w:hAnsi="Book Antiqua" w:cs="Times New Roman"/>
          <w:sz w:val="24"/>
        </w:rPr>
        <w:t xml:space="preserve"> </w:t>
      </w:r>
      <w:r w:rsidR="007A004A">
        <w:rPr>
          <w:rFonts w:ascii="Book Antiqua" w:eastAsia="Calibri" w:hAnsi="Book Antiqua" w:cs="Times New Roman"/>
          <w:sz w:val="24"/>
        </w:rPr>
        <w:t xml:space="preserve">  By urging the benefits </w:t>
      </w:r>
      <w:r w:rsidR="009A7389">
        <w:rPr>
          <w:rFonts w:ascii="Book Antiqua" w:eastAsia="Calibri" w:hAnsi="Book Antiqua" w:cs="Times New Roman"/>
          <w:sz w:val="24"/>
        </w:rPr>
        <w:t xml:space="preserve">of dialogue, </w:t>
      </w:r>
      <w:r w:rsidR="009A7389" w:rsidRPr="009A7389">
        <w:rPr>
          <w:rFonts w:ascii="Book Antiqua" w:eastAsia="Calibri" w:hAnsi="Book Antiqua" w:cs="Times New Roman"/>
          <w:i/>
          <w:sz w:val="24"/>
        </w:rPr>
        <w:t>Apostolicum actuositatem</w:t>
      </w:r>
      <w:r w:rsidR="009A7389">
        <w:rPr>
          <w:rFonts w:ascii="Book Antiqua" w:eastAsia="Calibri" w:hAnsi="Book Antiqua" w:cs="Times New Roman"/>
          <w:sz w:val="24"/>
        </w:rPr>
        <w:t xml:space="preserve"> </w:t>
      </w:r>
      <w:r w:rsidR="002E329D">
        <w:rPr>
          <w:rFonts w:ascii="Book Antiqua" w:eastAsia="Calibri" w:hAnsi="Book Antiqua" w:cs="Times New Roman"/>
          <w:sz w:val="24"/>
        </w:rPr>
        <w:t xml:space="preserve">(The Decree on the Apostolate of Lay People) </w:t>
      </w:r>
      <w:r w:rsidR="009A7389">
        <w:rPr>
          <w:rFonts w:ascii="Book Antiqua" w:eastAsia="Calibri" w:hAnsi="Book Antiqua" w:cs="Times New Roman"/>
          <w:sz w:val="24"/>
        </w:rPr>
        <w:t>gave</w:t>
      </w:r>
      <w:r w:rsidR="007A004A">
        <w:rPr>
          <w:rFonts w:ascii="Book Antiqua" w:eastAsia="Calibri" w:hAnsi="Book Antiqua" w:cs="Times New Roman"/>
          <w:sz w:val="24"/>
        </w:rPr>
        <w:t xml:space="preserve"> legitimacy to the official bilateral dialogues that were already in place through the Faith and Order movement, and </w:t>
      </w:r>
      <w:r w:rsidR="009A7389">
        <w:rPr>
          <w:rFonts w:ascii="Book Antiqua" w:eastAsia="Calibri" w:hAnsi="Book Antiqua" w:cs="Times New Roman"/>
          <w:sz w:val="24"/>
        </w:rPr>
        <w:t xml:space="preserve">may have helped to light a fire under Catholics who joined lay movements like the </w:t>
      </w:r>
      <w:r w:rsidR="007A004A">
        <w:rPr>
          <w:rFonts w:ascii="Book Antiqua" w:eastAsia="Calibri" w:hAnsi="Book Antiqua" w:cs="Times New Roman"/>
          <w:sz w:val="24"/>
        </w:rPr>
        <w:t>Living Room Dialogues</w:t>
      </w:r>
      <w:r w:rsidR="009A7389">
        <w:rPr>
          <w:rFonts w:ascii="Book Antiqua" w:eastAsia="Calibri" w:hAnsi="Book Antiqua" w:cs="Times New Roman"/>
          <w:sz w:val="24"/>
        </w:rPr>
        <w:t>.  As we will see in the next chapter, however, these lay ecumenical encounters have not displayed the depth or the staying power that one might expect, even when a</w:t>
      </w:r>
      <w:r w:rsidR="008265F0">
        <w:rPr>
          <w:rFonts w:ascii="Book Antiqua" w:eastAsia="Calibri" w:hAnsi="Book Antiqua" w:cs="Times New Roman"/>
          <w:sz w:val="24"/>
        </w:rPr>
        <w:t xml:space="preserve"> </w:t>
      </w:r>
      <w:r w:rsidR="009A7389">
        <w:rPr>
          <w:rFonts w:ascii="Book Antiqua" w:eastAsia="Calibri" w:hAnsi="Book Antiqua" w:cs="Times New Roman"/>
          <w:sz w:val="24"/>
        </w:rPr>
        <w:t xml:space="preserve">robust theology of the laity is </w:t>
      </w:r>
      <w:r w:rsidR="008265F0">
        <w:rPr>
          <w:rFonts w:ascii="Book Antiqua" w:eastAsia="Calibri" w:hAnsi="Book Antiqua" w:cs="Times New Roman"/>
          <w:sz w:val="24"/>
        </w:rPr>
        <w:t>technically “on the books.”</w:t>
      </w:r>
    </w:p>
    <w:p w14:paraId="56BBF0C4" w14:textId="77777777" w:rsidR="00820D4B" w:rsidRDefault="009A7389" w:rsidP="005E36ED">
      <w:pPr>
        <w:spacing w:line="360" w:lineRule="auto"/>
        <w:rPr>
          <w:rFonts w:ascii="Book Antiqua" w:eastAsia="Calibri" w:hAnsi="Book Antiqua" w:cs="Times New Roman"/>
          <w:sz w:val="24"/>
        </w:rPr>
      </w:pPr>
      <w:r>
        <w:rPr>
          <w:rFonts w:ascii="Book Antiqua" w:eastAsia="Calibri" w:hAnsi="Book Antiqua" w:cs="Times New Roman"/>
          <w:sz w:val="24"/>
        </w:rPr>
        <w:tab/>
        <w:t xml:space="preserve">What keeps </w:t>
      </w:r>
      <w:r w:rsidR="008265F0">
        <w:rPr>
          <w:rFonts w:ascii="Book Antiqua" w:eastAsia="Calibri" w:hAnsi="Book Antiqua" w:cs="Times New Roman"/>
          <w:sz w:val="24"/>
        </w:rPr>
        <w:t>our</w:t>
      </w:r>
      <w:r>
        <w:rPr>
          <w:rFonts w:ascii="Book Antiqua" w:eastAsia="Calibri" w:hAnsi="Book Antiqua" w:cs="Times New Roman"/>
          <w:sz w:val="24"/>
        </w:rPr>
        <w:t xml:space="preserve"> churches from </w:t>
      </w:r>
      <w:r w:rsidR="008265F0">
        <w:rPr>
          <w:rFonts w:ascii="Book Antiqua" w:eastAsia="Calibri" w:hAnsi="Book Antiqua" w:cs="Times New Roman"/>
          <w:sz w:val="24"/>
        </w:rPr>
        <w:t>trusting lay members to think theologically together?</w:t>
      </w:r>
      <w:r w:rsidRPr="009A7389">
        <w:rPr>
          <w:rFonts w:ascii="Book Antiqua" w:eastAsia="Calibri" w:hAnsi="Book Antiqua" w:cs="Times New Roman"/>
          <w:sz w:val="24"/>
        </w:rPr>
        <w:t xml:space="preserve">  </w:t>
      </w:r>
      <w:r w:rsidR="008265F0">
        <w:rPr>
          <w:rFonts w:ascii="Book Antiqua" w:eastAsia="Calibri" w:hAnsi="Book Antiqua" w:cs="Times New Roman"/>
          <w:sz w:val="24"/>
        </w:rPr>
        <w:t>Beyond the casual, widespread assumption that lay people are not intelligent enough to manage doctrine, cultural obstacles to lay dialogue</w:t>
      </w:r>
      <w:r w:rsidRPr="00350AE7">
        <w:rPr>
          <w:rFonts w:ascii="Book Antiqua" w:eastAsia="Calibri" w:hAnsi="Book Antiqua" w:cs="Times New Roman"/>
          <w:sz w:val="24"/>
        </w:rPr>
        <w:t xml:space="preserve"> </w:t>
      </w:r>
      <w:r w:rsidR="008265F0">
        <w:rPr>
          <w:rFonts w:ascii="Book Antiqua" w:eastAsia="Calibri" w:hAnsi="Book Antiqua" w:cs="Times New Roman"/>
          <w:sz w:val="24"/>
        </w:rPr>
        <w:t xml:space="preserve">interact with one another in a complex system that requires careful understanding.   Three obstacles I have in mind are </w:t>
      </w:r>
      <w:r w:rsidR="008265F0" w:rsidRPr="00CE0E2F">
        <w:rPr>
          <w:rFonts w:ascii="Book Antiqua" w:eastAsia="Calibri" w:hAnsi="Book Antiqua" w:cs="Times New Roman"/>
          <w:i/>
          <w:sz w:val="24"/>
        </w:rPr>
        <w:t>education, method and legitimation</w:t>
      </w:r>
      <w:r w:rsidR="008265F0">
        <w:rPr>
          <w:rFonts w:ascii="Book Antiqua" w:eastAsia="Calibri" w:hAnsi="Book Antiqua" w:cs="Times New Roman"/>
          <w:sz w:val="24"/>
        </w:rPr>
        <w:t xml:space="preserve">—or rather, the lack of each.  Beginning on the Reformed side, most </w:t>
      </w:r>
      <w:r w:rsidR="00B129E2">
        <w:rPr>
          <w:rFonts w:ascii="Book Antiqua" w:eastAsia="Calibri" w:hAnsi="Book Antiqua" w:cs="Times New Roman"/>
          <w:sz w:val="24"/>
        </w:rPr>
        <w:t xml:space="preserve">churches who trace their theological beginnings back to Calvin’s Geneva are </w:t>
      </w:r>
      <w:r w:rsidR="008265F0">
        <w:rPr>
          <w:rFonts w:ascii="Book Antiqua" w:eastAsia="Calibri" w:hAnsi="Book Antiqua" w:cs="Times New Roman"/>
          <w:sz w:val="24"/>
        </w:rPr>
        <w:t>technically governed not by pastors, but by pastors and</w:t>
      </w:r>
      <w:r w:rsidR="00B129E2">
        <w:rPr>
          <w:rFonts w:ascii="Book Antiqua" w:eastAsia="Calibri" w:hAnsi="Book Antiqua" w:cs="Times New Roman"/>
          <w:sz w:val="24"/>
        </w:rPr>
        <w:t xml:space="preserve"> elders</w:t>
      </w:r>
      <w:r w:rsidR="008265F0">
        <w:rPr>
          <w:rFonts w:ascii="Book Antiqua" w:eastAsia="Calibri" w:hAnsi="Book Antiqua" w:cs="Times New Roman"/>
          <w:sz w:val="24"/>
        </w:rPr>
        <w:t xml:space="preserve"> together</w:t>
      </w:r>
      <w:r w:rsidR="00B129E2">
        <w:rPr>
          <w:rFonts w:ascii="Book Antiqua" w:eastAsia="Calibri" w:hAnsi="Book Antiqua" w:cs="Times New Roman"/>
          <w:sz w:val="24"/>
        </w:rPr>
        <w:t xml:space="preserve">.  </w:t>
      </w:r>
      <w:r w:rsidR="005E36ED">
        <w:rPr>
          <w:rFonts w:ascii="Book Antiqua" w:eastAsia="Calibri" w:hAnsi="Book Antiqua" w:cs="Times New Roman"/>
          <w:sz w:val="24"/>
        </w:rPr>
        <w:t xml:space="preserve"> </w:t>
      </w:r>
      <w:r w:rsidR="008265F0">
        <w:rPr>
          <w:rFonts w:ascii="Book Antiqua" w:eastAsia="Calibri" w:hAnsi="Book Antiqua" w:cs="Times New Roman"/>
          <w:sz w:val="24"/>
        </w:rPr>
        <w:t>Calvin developed the office of elder based on Scriptural teaching</w:t>
      </w:r>
      <w:r w:rsidR="0034000F">
        <w:rPr>
          <w:rFonts w:ascii="Book Antiqua" w:eastAsia="Calibri" w:hAnsi="Book Antiqua" w:cs="Times New Roman"/>
          <w:sz w:val="24"/>
        </w:rPr>
        <w:t>.  He</w:t>
      </w:r>
      <w:r w:rsidR="008265F0">
        <w:rPr>
          <w:rFonts w:ascii="Book Antiqua" w:eastAsia="Calibri" w:hAnsi="Book Antiqua" w:cs="Times New Roman"/>
          <w:sz w:val="24"/>
        </w:rPr>
        <w:t xml:space="preserve"> had confidence that </w:t>
      </w:r>
      <w:r w:rsidR="00D44A50">
        <w:rPr>
          <w:rFonts w:ascii="Book Antiqua" w:eastAsia="Calibri" w:hAnsi="Book Antiqua" w:cs="Times New Roman"/>
          <w:sz w:val="24"/>
        </w:rPr>
        <w:t>the prophetic anointing of the Holy Spirit, fueled by biblical study,</w:t>
      </w:r>
      <w:r w:rsidR="0034000F">
        <w:rPr>
          <w:rFonts w:ascii="Book Antiqua" w:eastAsia="Calibri" w:hAnsi="Book Antiqua" w:cs="Times New Roman"/>
          <w:sz w:val="24"/>
        </w:rPr>
        <w:t xml:space="preserve"> was sufficient </w:t>
      </w:r>
      <w:r w:rsidR="0034000F">
        <w:rPr>
          <w:rFonts w:ascii="Book Antiqua" w:eastAsia="Calibri" w:hAnsi="Book Antiqua" w:cs="Times New Roman"/>
          <w:sz w:val="24"/>
        </w:rPr>
        <w:lastRenderedPageBreak/>
        <w:t xml:space="preserve">grounding for </w:t>
      </w:r>
      <w:r w:rsidR="00D44A50">
        <w:rPr>
          <w:rFonts w:ascii="Book Antiqua" w:eastAsia="Calibri" w:hAnsi="Book Antiqua" w:cs="Times New Roman"/>
          <w:sz w:val="24"/>
        </w:rPr>
        <w:t>the elders’</w:t>
      </w:r>
      <w:r w:rsidR="0034000F">
        <w:rPr>
          <w:rFonts w:ascii="Book Antiqua" w:eastAsia="Calibri" w:hAnsi="Book Antiqua" w:cs="Times New Roman"/>
          <w:sz w:val="24"/>
        </w:rPr>
        <w:t xml:space="preserve"> authority.  But he also surrounded </w:t>
      </w:r>
      <w:r w:rsidR="00D44A50">
        <w:rPr>
          <w:rFonts w:ascii="Book Antiqua" w:eastAsia="Calibri" w:hAnsi="Book Antiqua" w:cs="Times New Roman"/>
          <w:sz w:val="24"/>
        </w:rPr>
        <w:t>elders</w:t>
      </w:r>
      <w:r w:rsidR="0034000F">
        <w:rPr>
          <w:rFonts w:ascii="Book Antiqua" w:eastAsia="Calibri" w:hAnsi="Book Antiqua" w:cs="Times New Roman"/>
          <w:sz w:val="24"/>
        </w:rPr>
        <w:t xml:space="preserve"> with a culture that took </w:t>
      </w:r>
      <w:r w:rsidR="00D44A50">
        <w:rPr>
          <w:rFonts w:ascii="Book Antiqua" w:eastAsia="Calibri" w:hAnsi="Book Antiqua" w:cs="Times New Roman"/>
          <w:sz w:val="24"/>
        </w:rPr>
        <w:t>doctrinal and liberal</w:t>
      </w:r>
      <w:r w:rsidR="0034000F">
        <w:rPr>
          <w:rFonts w:ascii="Book Antiqua" w:eastAsia="Calibri" w:hAnsi="Book Antiqua" w:cs="Times New Roman"/>
          <w:sz w:val="24"/>
        </w:rPr>
        <w:t xml:space="preserve"> education very seriously.   </w:t>
      </w:r>
    </w:p>
    <w:p w14:paraId="6632844F" w14:textId="05873364" w:rsidR="008265F0" w:rsidRDefault="0034000F" w:rsidP="00820D4B">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In subsequent generations this </w:t>
      </w:r>
      <w:r w:rsidR="00E701CB">
        <w:rPr>
          <w:rFonts w:ascii="Book Antiqua" w:eastAsia="Calibri" w:hAnsi="Book Antiqua" w:cs="Times New Roman"/>
          <w:sz w:val="24"/>
        </w:rPr>
        <w:t>commitment to lay</w:t>
      </w:r>
      <w:r>
        <w:rPr>
          <w:rFonts w:ascii="Book Antiqua" w:eastAsia="Calibri" w:hAnsi="Book Antiqua" w:cs="Times New Roman"/>
          <w:sz w:val="24"/>
        </w:rPr>
        <w:t xml:space="preserve"> </w:t>
      </w:r>
      <w:r w:rsidRPr="00820D4B">
        <w:rPr>
          <w:rFonts w:ascii="Book Antiqua" w:eastAsia="Calibri" w:hAnsi="Book Antiqua" w:cs="Times New Roman"/>
          <w:i/>
          <w:sz w:val="24"/>
        </w:rPr>
        <w:t>education</w:t>
      </w:r>
      <w:r>
        <w:rPr>
          <w:rFonts w:ascii="Book Antiqua" w:eastAsia="Calibri" w:hAnsi="Book Antiqua" w:cs="Times New Roman"/>
          <w:sz w:val="24"/>
        </w:rPr>
        <w:t xml:space="preserve"> waned, but the commitment to theological education for pastors held and, in many settings, increased.  Francois Wendel noted in his magisterial work on Calvin’s theology that Reformed communities </w:t>
      </w:r>
      <w:r w:rsidR="004E7ACC">
        <w:rPr>
          <w:rFonts w:ascii="Book Antiqua" w:eastAsia="Calibri" w:hAnsi="Book Antiqua" w:cs="Times New Roman"/>
          <w:sz w:val="24"/>
        </w:rPr>
        <w:t xml:space="preserve">have </w:t>
      </w:r>
      <w:r>
        <w:rPr>
          <w:rFonts w:ascii="Book Antiqua" w:eastAsia="Calibri" w:hAnsi="Book Antiqua" w:cs="Times New Roman"/>
          <w:sz w:val="24"/>
        </w:rPr>
        <w:t>tend</w:t>
      </w:r>
      <w:r w:rsidR="004E7ACC">
        <w:rPr>
          <w:rFonts w:ascii="Book Antiqua" w:eastAsia="Calibri" w:hAnsi="Book Antiqua" w:cs="Times New Roman"/>
          <w:sz w:val="24"/>
        </w:rPr>
        <w:t>ed</w:t>
      </w:r>
      <w:r>
        <w:rPr>
          <w:rFonts w:ascii="Book Antiqua" w:eastAsia="Calibri" w:hAnsi="Book Antiqua" w:cs="Times New Roman"/>
          <w:sz w:val="24"/>
        </w:rPr>
        <w:t xml:space="preserve"> to require in their pastors “a high degree of intellectual culture.”  </w:t>
      </w:r>
      <w:r>
        <w:rPr>
          <w:rStyle w:val="FootnoteReference"/>
          <w:rFonts w:ascii="Book Antiqua" w:eastAsia="Calibri" w:hAnsi="Book Antiqua" w:cs="Times New Roman"/>
          <w:sz w:val="24"/>
        </w:rPr>
        <w:footnoteReference w:id="43"/>
      </w:r>
      <w:r>
        <w:rPr>
          <w:rFonts w:ascii="Book Antiqua" w:eastAsia="Calibri" w:hAnsi="Book Antiqua" w:cs="Times New Roman"/>
          <w:sz w:val="24"/>
        </w:rPr>
        <w:t xml:space="preserve">   Symbolic of this requirement is the Reformed preaching gown, which resembles not a priestly alb, with a rope around its middle, but rather a medieval academic garment.    The </w:t>
      </w:r>
      <w:r w:rsidR="00D44A50">
        <w:rPr>
          <w:rFonts w:ascii="Book Antiqua" w:eastAsia="Calibri" w:hAnsi="Book Antiqua" w:cs="Times New Roman"/>
          <w:sz w:val="24"/>
        </w:rPr>
        <w:t xml:space="preserve">robe’s style </w:t>
      </w:r>
      <w:r>
        <w:rPr>
          <w:rFonts w:ascii="Book Antiqua" w:eastAsia="Calibri" w:hAnsi="Book Antiqua" w:cs="Times New Roman"/>
          <w:sz w:val="24"/>
        </w:rPr>
        <w:t xml:space="preserve">also </w:t>
      </w:r>
      <w:r w:rsidR="00BA0A05">
        <w:rPr>
          <w:rFonts w:ascii="Book Antiqua" w:eastAsia="Calibri" w:hAnsi="Book Antiqua" w:cs="Times New Roman"/>
          <w:sz w:val="24"/>
        </w:rPr>
        <w:t>recalls</w:t>
      </w:r>
      <w:r>
        <w:rPr>
          <w:rFonts w:ascii="Book Antiqua" w:eastAsia="Calibri" w:hAnsi="Book Antiqua" w:cs="Times New Roman"/>
          <w:sz w:val="24"/>
        </w:rPr>
        <w:t xml:space="preserve"> the connection between the Reformed movement and the wave of </w:t>
      </w:r>
      <w:r w:rsidR="00D44A50">
        <w:rPr>
          <w:rFonts w:ascii="Book Antiqua" w:eastAsia="Calibri" w:hAnsi="Book Antiqua" w:cs="Times New Roman"/>
          <w:sz w:val="24"/>
        </w:rPr>
        <w:t>classical humanist</w:t>
      </w:r>
      <w:r>
        <w:rPr>
          <w:rFonts w:ascii="Book Antiqua" w:eastAsia="Calibri" w:hAnsi="Book Antiqua" w:cs="Times New Roman"/>
          <w:sz w:val="24"/>
        </w:rPr>
        <w:t xml:space="preserve"> scholarship that swept Europe at the same time; Calvin, </w:t>
      </w:r>
      <w:r w:rsidR="00D44A50">
        <w:rPr>
          <w:rFonts w:ascii="Book Antiqua" w:eastAsia="Calibri" w:hAnsi="Book Antiqua" w:cs="Times New Roman"/>
          <w:sz w:val="24"/>
        </w:rPr>
        <w:t>for example,</w:t>
      </w:r>
      <w:r>
        <w:rPr>
          <w:rFonts w:ascii="Book Antiqua" w:eastAsia="Calibri" w:hAnsi="Book Antiqua" w:cs="Times New Roman"/>
          <w:sz w:val="24"/>
        </w:rPr>
        <w:t xml:space="preserve"> was a participant in both.  In a community that values education as much as we do, and then fails to educate lay people as Calvin initially demanded, the result </w:t>
      </w:r>
      <w:r w:rsidR="00D44A50">
        <w:rPr>
          <w:rFonts w:ascii="Book Antiqua" w:eastAsia="Calibri" w:hAnsi="Book Antiqua" w:cs="Times New Roman"/>
          <w:sz w:val="24"/>
        </w:rPr>
        <w:t>can be</w:t>
      </w:r>
      <w:r w:rsidR="00E701CB">
        <w:rPr>
          <w:rFonts w:ascii="Book Antiqua" w:eastAsia="Calibri" w:hAnsi="Book Antiqua" w:cs="Times New Roman"/>
          <w:sz w:val="24"/>
        </w:rPr>
        <w:t xml:space="preserve"> </w:t>
      </w:r>
      <w:r w:rsidR="00D44A50">
        <w:rPr>
          <w:rFonts w:ascii="Book Antiqua" w:eastAsia="Calibri" w:hAnsi="Book Antiqua" w:cs="Times New Roman"/>
          <w:sz w:val="24"/>
        </w:rPr>
        <w:t>a</w:t>
      </w:r>
      <w:r w:rsidR="00E701CB">
        <w:rPr>
          <w:rFonts w:ascii="Book Antiqua" w:eastAsia="Calibri" w:hAnsi="Book Antiqua" w:cs="Times New Roman"/>
          <w:sz w:val="24"/>
        </w:rPr>
        <w:t xml:space="preserve">n unwitting </w:t>
      </w:r>
      <w:r>
        <w:rPr>
          <w:rFonts w:ascii="Book Antiqua" w:eastAsia="Calibri" w:hAnsi="Book Antiqua" w:cs="Times New Roman"/>
          <w:sz w:val="24"/>
        </w:rPr>
        <w:t xml:space="preserve">clericalism in which we </w:t>
      </w:r>
      <w:r w:rsidR="00D44A50">
        <w:rPr>
          <w:rFonts w:ascii="Book Antiqua" w:eastAsia="Calibri" w:hAnsi="Book Antiqua" w:cs="Times New Roman"/>
          <w:sz w:val="24"/>
        </w:rPr>
        <w:t xml:space="preserve">give our respect </w:t>
      </w:r>
      <w:r>
        <w:rPr>
          <w:rFonts w:ascii="Book Antiqua" w:eastAsia="Calibri" w:hAnsi="Book Antiqua" w:cs="Times New Roman"/>
          <w:sz w:val="24"/>
        </w:rPr>
        <w:t xml:space="preserve">not </w:t>
      </w:r>
      <w:r w:rsidR="00D44A50">
        <w:rPr>
          <w:rFonts w:ascii="Book Antiqua" w:eastAsia="Calibri" w:hAnsi="Book Antiqua" w:cs="Times New Roman"/>
          <w:sz w:val="24"/>
        </w:rPr>
        <w:t xml:space="preserve">to </w:t>
      </w:r>
      <w:r>
        <w:rPr>
          <w:rFonts w:ascii="Book Antiqua" w:eastAsia="Calibri" w:hAnsi="Book Antiqua" w:cs="Times New Roman"/>
          <w:sz w:val="24"/>
        </w:rPr>
        <w:t xml:space="preserve">the anointing of the Holy Spirit but </w:t>
      </w:r>
      <w:r w:rsidR="00D44A50">
        <w:rPr>
          <w:rFonts w:ascii="Book Antiqua" w:eastAsia="Calibri" w:hAnsi="Book Antiqua" w:cs="Times New Roman"/>
          <w:sz w:val="24"/>
        </w:rPr>
        <w:t xml:space="preserve">to </w:t>
      </w:r>
      <w:r>
        <w:rPr>
          <w:rFonts w:ascii="Book Antiqua" w:eastAsia="Calibri" w:hAnsi="Book Antiqua" w:cs="Times New Roman"/>
          <w:sz w:val="24"/>
        </w:rPr>
        <w:t xml:space="preserve">the advanced degree. </w:t>
      </w:r>
    </w:p>
    <w:p w14:paraId="4C1C7147" w14:textId="280D3563" w:rsidR="00FA0E4F" w:rsidRDefault="00D44A50" w:rsidP="00D44A50">
      <w:pPr>
        <w:spacing w:line="360" w:lineRule="auto"/>
        <w:ind w:firstLine="720"/>
        <w:rPr>
          <w:rFonts w:ascii="Book Antiqua" w:eastAsia="Calibri" w:hAnsi="Book Antiqua" w:cs="Times New Roman"/>
          <w:sz w:val="24"/>
        </w:rPr>
      </w:pPr>
      <w:r>
        <w:rPr>
          <w:rFonts w:ascii="Book Antiqua" w:eastAsia="Calibri" w:hAnsi="Book Antiqua" w:cs="Times New Roman"/>
          <w:sz w:val="24"/>
        </w:rPr>
        <w:t>On the Catholic side</w:t>
      </w:r>
      <w:r w:rsidR="00DF5EAD">
        <w:rPr>
          <w:rFonts w:ascii="Book Antiqua" w:eastAsia="Calibri" w:hAnsi="Book Antiqua" w:cs="Times New Roman"/>
          <w:sz w:val="24"/>
        </w:rPr>
        <w:t xml:space="preserve">: </w:t>
      </w:r>
      <w:r>
        <w:rPr>
          <w:rFonts w:ascii="Book Antiqua" w:eastAsia="Calibri" w:hAnsi="Book Antiqua" w:cs="Times New Roman"/>
          <w:sz w:val="24"/>
        </w:rPr>
        <w:t xml:space="preserve">the recommendation of dialogue as the preferred form of lay theological stewardship is both a help and a hindrance to lay involvement in doctrinal matters.  Dialogue is a word that inspires both </w:t>
      </w:r>
      <w:r w:rsidR="00E701CB">
        <w:rPr>
          <w:rFonts w:ascii="Book Antiqua" w:eastAsia="Calibri" w:hAnsi="Book Antiqua" w:cs="Times New Roman"/>
          <w:sz w:val="24"/>
        </w:rPr>
        <w:t>hope and fear</w:t>
      </w:r>
      <w:r>
        <w:rPr>
          <w:rFonts w:ascii="Book Antiqua" w:eastAsia="Calibri" w:hAnsi="Book Antiqua" w:cs="Times New Roman"/>
          <w:sz w:val="24"/>
        </w:rPr>
        <w:t xml:space="preserve">, depending on a person’s cultural </w:t>
      </w:r>
      <w:r w:rsidR="00E701CB">
        <w:rPr>
          <w:rFonts w:ascii="Book Antiqua" w:eastAsia="Calibri" w:hAnsi="Book Antiqua" w:cs="Times New Roman"/>
          <w:sz w:val="24"/>
        </w:rPr>
        <w:t>leanings</w:t>
      </w:r>
      <w:r>
        <w:rPr>
          <w:rFonts w:ascii="Book Antiqua" w:eastAsia="Calibri" w:hAnsi="Book Antiqua" w:cs="Times New Roman"/>
          <w:sz w:val="24"/>
        </w:rPr>
        <w:t xml:space="preserve">.   </w:t>
      </w:r>
      <w:r w:rsidR="00E701CB">
        <w:rPr>
          <w:rFonts w:ascii="Book Antiqua" w:eastAsia="Calibri" w:hAnsi="Book Antiqua" w:cs="Times New Roman"/>
          <w:sz w:val="24"/>
        </w:rPr>
        <w:t xml:space="preserve"> In the post-Vatican II Catholic tradition, dialogue is symbolic of an openness to the modern world, </w:t>
      </w:r>
      <w:r w:rsidR="002645F6">
        <w:rPr>
          <w:rFonts w:ascii="Book Antiqua" w:eastAsia="Calibri" w:hAnsi="Book Antiqua" w:cs="Times New Roman"/>
          <w:sz w:val="24"/>
        </w:rPr>
        <w:t>of</w:t>
      </w:r>
      <w:r w:rsidR="00E701CB">
        <w:rPr>
          <w:rFonts w:ascii="Book Antiqua" w:eastAsia="Calibri" w:hAnsi="Book Antiqua" w:cs="Times New Roman"/>
          <w:sz w:val="24"/>
        </w:rPr>
        <w:t xml:space="preserve"> respect for the dignity of all human beings, and </w:t>
      </w:r>
      <w:r w:rsidR="002645F6">
        <w:rPr>
          <w:rFonts w:ascii="Book Antiqua" w:eastAsia="Calibri" w:hAnsi="Book Antiqua" w:cs="Times New Roman"/>
          <w:sz w:val="24"/>
        </w:rPr>
        <w:t xml:space="preserve">of </w:t>
      </w:r>
      <w:r w:rsidR="00E701CB">
        <w:rPr>
          <w:rFonts w:ascii="Book Antiqua" w:eastAsia="Calibri" w:hAnsi="Book Antiqua" w:cs="Times New Roman"/>
          <w:sz w:val="24"/>
        </w:rPr>
        <w:t xml:space="preserve">a servant-leader approach to church governance even within the inherited hierarchical structure of the Church.  It is a key word in the vocabulary of Pope Francis who embodies and insists upon these values which are central to his reading of the Christian </w:t>
      </w:r>
      <w:r w:rsidR="00CE0E2F">
        <w:rPr>
          <w:rFonts w:ascii="Book Antiqua" w:eastAsia="Calibri" w:hAnsi="Book Antiqua" w:cs="Times New Roman"/>
          <w:sz w:val="24"/>
        </w:rPr>
        <w:t>g</w:t>
      </w:r>
      <w:r w:rsidR="00E701CB">
        <w:rPr>
          <w:rFonts w:ascii="Book Antiqua" w:eastAsia="Calibri" w:hAnsi="Book Antiqua" w:cs="Times New Roman"/>
          <w:sz w:val="24"/>
        </w:rPr>
        <w:t>ospel.</w:t>
      </w:r>
      <w:r w:rsidR="00CE0E2F" w:rsidRPr="00CE0E2F">
        <w:rPr>
          <w:rStyle w:val="FootnoteReference"/>
          <w:rFonts w:ascii="Book Antiqua" w:eastAsia="Calibri" w:hAnsi="Book Antiqua" w:cs="Times New Roman"/>
          <w:sz w:val="24"/>
        </w:rPr>
        <w:t xml:space="preserve"> </w:t>
      </w:r>
      <w:r w:rsidR="00CE0E2F">
        <w:rPr>
          <w:rStyle w:val="FootnoteReference"/>
          <w:rFonts w:ascii="Book Antiqua" w:eastAsia="Calibri" w:hAnsi="Book Antiqua" w:cs="Times New Roman"/>
          <w:sz w:val="24"/>
        </w:rPr>
        <w:footnoteReference w:id="44"/>
      </w:r>
      <w:r w:rsidR="00E701CB">
        <w:rPr>
          <w:rFonts w:ascii="Book Antiqua" w:eastAsia="Calibri" w:hAnsi="Book Antiqua" w:cs="Times New Roman"/>
          <w:sz w:val="24"/>
        </w:rPr>
        <w:t xml:space="preserve">  Yet </w:t>
      </w:r>
      <w:r w:rsidR="004E7ACC">
        <w:rPr>
          <w:rFonts w:ascii="Book Antiqua" w:eastAsia="Calibri" w:hAnsi="Book Antiqua" w:cs="Times New Roman"/>
          <w:sz w:val="24"/>
        </w:rPr>
        <w:t xml:space="preserve">conservative Catholics, who emphasize the continuity of </w:t>
      </w:r>
      <w:r w:rsidR="00E701CB">
        <w:rPr>
          <w:rFonts w:ascii="Book Antiqua" w:eastAsia="Calibri" w:hAnsi="Book Antiqua" w:cs="Times New Roman"/>
          <w:sz w:val="24"/>
        </w:rPr>
        <w:t xml:space="preserve">Vatican II </w:t>
      </w:r>
      <w:r w:rsidR="004E7ACC">
        <w:rPr>
          <w:rFonts w:ascii="Book Antiqua" w:eastAsia="Calibri" w:hAnsi="Book Antiqua" w:cs="Times New Roman"/>
          <w:sz w:val="24"/>
        </w:rPr>
        <w:t xml:space="preserve">with previous church councils, </w:t>
      </w:r>
      <w:r w:rsidR="00074424">
        <w:rPr>
          <w:rFonts w:ascii="Book Antiqua" w:eastAsia="Calibri" w:hAnsi="Book Antiqua" w:cs="Times New Roman"/>
          <w:sz w:val="24"/>
        </w:rPr>
        <w:t>may</w:t>
      </w:r>
      <w:r w:rsidR="004E7ACC">
        <w:rPr>
          <w:rFonts w:ascii="Book Antiqua" w:eastAsia="Calibri" w:hAnsi="Book Antiqua" w:cs="Times New Roman"/>
          <w:sz w:val="24"/>
        </w:rPr>
        <w:t xml:space="preserve"> view </w:t>
      </w:r>
      <w:r w:rsidR="00E701CB">
        <w:rPr>
          <w:rFonts w:ascii="Book Antiqua" w:eastAsia="Calibri" w:hAnsi="Book Antiqua" w:cs="Times New Roman"/>
          <w:sz w:val="24"/>
        </w:rPr>
        <w:t xml:space="preserve">the word “dialogue” with immense suspicion.  </w:t>
      </w:r>
      <w:r w:rsidR="00FA0E4F">
        <w:rPr>
          <w:rFonts w:ascii="Book Antiqua" w:eastAsia="Calibri" w:hAnsi="Book Antiqua" w:cs="Times New Roman"/>
          <w:sz w:val="24"/>
        </w:rPr>
        <w:t>To them dialogue</w:t>
      </w:r>
      <w:r w:rsidR="002645F6">
        <w:rPr>
          <w:rFonts w:ascii="Book Antiqua" w:eastAsia="Calibri" w:hAnsi="Book Antiqua" w:cs="Times New Roman"/>
          <w:sz w:val="24"/>
        </w:rPr>
        <w:t xml:space="preserve"> can</w:t>
      </w:r>
      <w:r w:rsidR="00FA0E4F">
        <w:rPr>
          <w:rFonts w:ascii="Book Antiqua" w:eastAsia="Calibri" w:hAnsi="Book Antiqua" w:cs="Times New Roman"/>
          <w:sz w:val="24"/>
        </w:rPr>
        <w:t xml:space="preserve"> represent ignorance of Scripture and </w:t>
      </w:r>
      <w:r w:rsidR="00FA0E4F">
        <w:rPr>
          <w:rFonts w:ascii="Book Antiqua" w:eastAsia="Calibri" w:hAnsi="Book Antiqua" w:cs="Times New Roman"/>
          <w:sz w:val="24"/>
        </w:rPr>
        <w:lastRenderedPageBreak/>
        <w:t xml:space="preserve">tradition, anti-clericalism, and </w:t>
      </w:r>
      <w:r w:rsidR="00074424">
        <w:rPr>
          <w:rFonts w:ascii="Book Antiqua" w:eastAsia="Calibri" w:hAnsi="Book Antiqua" w:cs="Times New Roman"/>
          <w:sz w:val="24"/>
        </w:rPr>
        <w:t>relativism</w:t>
      </w:r>
      <w:r w:rsidR="004E7ACC">
        <w:rPr>
          <w:rFonts w:ascii="Book Antiqua" w:eastAsia="Calibri" w:hAnsi="Book Antiqua" w:cs="Times New Roman"/>
          <w:sz w:val="24"/>
        </w:rPr>
        <w:t xml:space="preserve">. </w:t>
      </w:r>
      <w:r w:rsidR="00074424">
        <w:rPr>
          <w:rStyle w:val="FootnoteReference"/>
          <w:rFonts w:ascii="Book Antiqua" w:eastAsia="Calibri" w:hAnsi="Book Antiqua" w:cs="Times New Roman"/>
          <w:sz w:val="24"/>
        </w:rPr>
        <w:footnoteReference w:id="45"/>
      </w:r>
      <w:r w:rsidR="004E7ACC">
        <w:rPr>
          <w:rFonts w:ascii="Book Antiqua" w:eastAsia="Calibri" w:hAnsi="Book Antiqua" w:cs="Times New Roman"/>
          <w:sz w:val="24"/>
        </w:rPr>
        <w:t xml:space="preserve"> </w:t>
      </w:r>
      <w:r w:rsidR="009F6E0F">
        <w:rPr>
          <w:rFonts w:ascii="Book Antiqua" w:eastAsia="Calibri" w:hAnsi="Book Antiqua" w:cs="Times New Roman"/>
          <w:sz w:val="24"/>
        </w:rPr>
        <w:t xml:space="preserve"> </w:t>
      </w:r>
      <w:r w:rsidR="00074424">
        <w:rPr>
          <w:rFonts w:ascii="Book Antiqua" w:eastAsia="Calibri" w:hAnsi="Book Antiqua" w:cs="Times New Roman"/>
          <w:sz w:val="24"/>
        </w:rPr>
        <w:t>And these fears are not without grounding whe</w:t>
      </w:r>
      <w:r w:rsidR="00820D4B">
        <w:rPr>
          <w:rFonts w:ascii="Book Antiqua" w:eastAsia="Calibri" w:hAnsi="Book Antiqua" w:cs="Times New Roman"/>
          <w:sz w:val="24"/>
        </w:rPr>
        <w:t>re</w:t>
      </w:r>
      <w:r w:rsidR="00074424">
        <w:rPr>
          <w:rFonts w:ascii="Book Antiqua" w:eastAsia="Calibri" w:hAnsi="Book Antiqua" w:cs="Times New Roman"/>
          <w:sz w:val="24"/>
        </w:rPr>
        <w:t xml:space="preserve"> dialogue is misapplied or misunderstood.</w:t>
      </w:r>
    </w:p>
    <w:p w14:paraId="1A734D79" w14:textId="5D626A93" w:rsidR="004E7ACC" w:rsidRDefault="00FA0E4F" w:rsidP="00D44A50">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We will delve into the nature of dialogue in Chapter Three.  </w:t>
      </w:r>
      <w:r w:rsidR="00AD6BE4">
        <w:rPr>
          <w:rFonts w:ascii="Book Antiqua" w:eastAsia="Calibri" w:hAnsi="Book Antiqua" w:cs="Times New Roman"/>
          <w:sz w:val="24"/>
        </w:rPr>
        <w:t xml:space="preserve">There I will argue </w:t>
      </w:r>
      <w:r w:rsidR="009561B1">
        <w:rPr>
          <w:rFonts w:ascii="Book Antiqua" w:eastAsia="Calibri" w:hAnsi="Book Antiqua" w:cs="Times New Roman"/>
          <w:sz w:val="24"/>
        </w:rPr>
        <w:t>that dialogue is</w:t>
      </w:r>
      <w:r w:rsidR="009561B1" w:rsidRPr="009561B1">
        <w:rPr>
          <w:rFonts w:ascii="Book Antiqua" w:eastAsia="Times New Roman" w:hAnsi="Book Antiqua" w:cs="Times New Roman"/>
          <w:b/>
          <w:sz w:val="24"/>
          <w:szCs w:val="24"/>
        </w:rPr>
        <w:t xml:space="preserve"> </w:t>
      </w:r>
      <w:r w:rsidR="009561B1" w:rsidRPr="007C3C1F">
        <w:rPr>
          <w:rFonts w:ascii="Book Antiqua" w:eastAsia="Times New Roman" w:hAnsi="Book Antiqua" w:cs="Times New Roman"/>
          <w:b/>
          <w:sz w:val="24"/>
          <w:szCs w:val="24"/>
        </w:rPr>
        <w:t>deeply</w:t>
      </w:r>
      <w:r w:rsidR="009561B1">
        <w:rPr>
          <w:rFonts w:ascii="Book Antiqua" w:eastAsia="Times New Roman" w:hAnsi="Book Antiqua" w:cs="Times New Roman"/>
          <w:b/>
          <w:sz w:val="24"/>
          <w:szCs w:val="24"/>
        </w:rPr>
        <w:t>-</w:t>
      </w:r>
      <w:r w:rsidR="009561B1" w:rsidRPr="007C3C1F">
        <w:rPr>
          <w:rFonts w:ascii="Book Antiqua" w:eastAsia="Times New Roman" w:hAnsi="Book Antiqua" w:cs="Times New Roman"/>
          <w:b/>
          <w:sz w:val="24"/>
          <w:szCs w:val="24"/>
        </w:rPr>
        <w:t xml:space="preserve">invested group communication that invites </w:t>
      </w:r>
      <w:bookmarkStart w:id="11" w:name="_Hlk512791946"/>
      <w:r w:rsidR="009561B1" w:rsidRPr="007C3C1F">
        <w:rPr>
          <w:rFonts w:ascii="Book Antiqua" w:eastAsia="Times New Roman" w:hAnsi="Book Antiqua" w:cs="Times New Roman"/>
          <w:b/>
          <w:sz w:val="24"/>
          <w:szCs w:val="24"/>
        </w:rPr>
        <w:t>new relationship and new forms of meaning to emerge</w:t>
      </w:r>
      <w:bookmarkEnd w:id="11"/>
      <w:r w:rsidR="009561B1" w:rsidRPr="007C3C1F">
        <w:rPr>
          <w:rFonts w:ascii="Book Antiqua" w:eastAsia="Times New Roman" w:hAnsi="Book Antiqua" w:cs="Times New Roman"/>
          <w:b/>
          <w:sz w:val="24"/>
          <w:szCs w:val="24"/>
        </w:rPr>
        <w:t>, on the way to discovering a common and comprehensive viewpoint.</w:t>
      </w:r>
      <w:r w:rsidR="009561B1">
        <w:rPr>
          <w:rFonts w:ascii="Book Antiqua" w:eastAsia="Times New Roman" w:hAnsi="Book Antiqua" w:cs="Times New Roman"/>
          <w:b/>
          <w:sz w:val="24"/>
          <w:szCs w:val="24"/>
        </w:rPr>
        <w:t xml:space="preserve">  </w:t>
      </w:r>
      <w:r w:rsidR="00AD6BE4">
        <w:rPr>
          <w:rFonts w:ascii="Book Antiqua" w:eastAsia="Calibri" w:hAnsi="Book Antiqua" w:cs="Times New Roman"/>
          <w:sz w:val="24"/>
        </w:rPr>
        <w:t xml:space="preserve"> </w:t>
      </w:r>
      <w:r>
        <w:rPr>
          <w:rFonts w:ascii="Book Antiqua" w:eastAsia="Calibri" w:hAnsi="Book Antiqua" w:cs="Times New Roman"/>
          <w:sz w:val="24"/>
        </w:rPr>
        <w:t xml:space="preserve">For now, I simply </w:t>
      </w:r>
      <w:r w:rsidR="00820D4B">
        <w:rPr>
          <w:rFonts w:ascii="Book Antiqua" w:eastAsia="Calibri" w:hAnsi="Book Antiqua" w:cs="Times New Roman"/>
          <w:sz w:val="24"/>
        </w:rPr>
        <w:t>assert</w:t>
      </w:r>
      <w:r>
        <w:rPr>
          <w:rFonts w:ascii="Book Antiqua" w:eastAsia="Calibri" w:hAnsi="Book Antiqua" w:cs="Times New Roman"/>
          <w:sz w:val="24"/>
        </w:rPr>
        <w:t xml:space="preserve"> that dialogue </w:t>
      </w:r>
      <w:r w:rsidR="002645F6">
        <w:rPr>
          <w:rFonts w:ascii="Book Antiqua" w:eastAsia="Calibri" w:hAnsi="Book Antiqua" w:cs="Times New Roman"/>
          <w:sz w:val="24"/>
        </w:rPr>
        <w:t xml:space="preserve">need not be a casualty of </w:t>
      </w:r>
      <w:r w:rsidR="009F6E0F">
        <w:rPr>
          <w:rFonts w:ascii="Book Antiqua" w:eastAsia="Calibri" w:hAnsi="Book Antiqua" w:cs="Times New Roman"/>
          <w:sz w:val="24"/>
        </w:rPr>
        <w:t>conservative-liberal</w:t>
      </w:r>
      <w:r w:rsidR="002645F6">
        <w:rPr>
          <w:rFonts w:ascii="Book Antiqua" w:eastAsia="Calibri" w:hAnsi="Book Antiqua" w:cs="Times New Roman"/>
          <w:sz w:val="24"/>
        </w:rPr>
        <w:t xml:space="preserve"> polarization.  It is</w:t>
      </w:r>
      <w:r>
        <w:rPr>
          <w:rFonts w:ascii="Book Antiqua" w:eastAsia="Calibri" w:hAnsi="Book Antiqua" w:cs="Times New Roman"/>
          <w:sz w:val="24"/>
        </w:rPr>
        <w:t xml:space="preserve"> a container for learning and for solving problems, and it involves both objective and subjective knowledge.   To be effective, however, </w:t>
      </w:r>
      <w:r w:rsidR="00820D4B">
        <w:rPr>
          <w:rFonts w:ascii="Book Antiqua" w:eastAsia="Calibri" w:hAnsi="Book Antiqua" w:cs="Times New Roman"/>
          <w:sz w:val="24"/>
        </w:rPr>
        <w:t xml:space="preserve">all </w:t>
      </w:r>
      <w:r>
        <w:rPr>
          <w:rFonts w:ascii="Book Antiqua" w:eastAsia="Calibri" w:hAnsi="Book Antiqua" w:cs="Times New Roman"/>
          <w:sz w:val="24"/>
        </w:rPr>
        <w:t>dialogue must be surrounded by a process of education.  And so, when the Vatican II authors privileged dialogue as the very best instrument for lay theological stewardship, they only increased the need for lay education—in Catholic terms, for catechesis.  They raised the educational stakes.</w:t>
      </w:r>
      <w:r w:rsidRPr="00FA0E4F">
        <w:rPr>
          <w:rFonts w:ascii="Book Antiqua" w:eastAsia="Calibri" w:hAnsi="Book Antiqua" w:cs="Times New Roman"/>
          <w:i/>
          <w:sz w:val="24"/>
        </w:rPr>
        <w:t xml:space="preserve"> </w:t>
      </w:r>
      <w:r w:rsidRPr="00DD257A">
        <w:rPr>
          <w:rFonts w:ascii="Book Antiqua" w:eastAsia="Calibri" w:hAnsi="Book Antiqua" w:cs="Times New Roman"/>
          <w:i/>
          <w:sz w:val="24"/>
        </w:rPr>
        <w:t>Apostolicam actuositatem</w:t>
      </w:r>
      <w:r w:rsidRPr="005E36ED">
        <w:rPr>
          <w:rFonts w:ascii="Book Antiqua" w:eastAsia="Calibri" w:hAnsi="Book Antiqua" w:cs="Times New Roman"/>
          <w:sz w:val="24"/>
        </w:rPr>
        <w:t xml:space="preserve"> acknowledge</w:t>
      </w:r>
      <w:r>
        <w:rPr>
          <w:rFonts w:ascii="Book Antiqua" w:eastAsia="Calibri" w:hAnsi="Book Antiqua" w:cs="Times New Roman"/>
          <w:sz w:val="24"/>
        </w:rPr>
        <w:t>d</w:t>
      </w:r>
      <w:r w:rsidRPr="005E36ED">
        <w:rPr>
          <w:rFonts w:ascii="Book Antiqua" w:eastAsia="Calibri" w:hAnsi="Book Antiqua" w:cs="Times New Roman"/>
          <w:sz w:val="24"/>
        </w:rPr>
        <w:t xml:space="preserve"> </w:t>
      </w:r>
      <w:r>
        <w:rPr>
          <w:rFonts w:ascii="Book Antiqua" w:eastAsia="Calibri" w:hAnsi="Book Antiqua" w:cs="Times New Roman"/>
          <w:sz w:val="24"/>
        </w:rPr>
        <w:t xml:space="preserve">this move.  </w:t>
      </w:r>
      <w:r w:rsidRPr="005E36ED">
        <w:rPr>
          <w:rFonts w:ascii="Book Antiqua" w:eastAsia="Calibri" w:hAnsi="Book Antiqua" w:cs="Times New Roman"/>
          <w:sz w:val="24"/>
        </w:rPr>
        <w:t xml:space="preserve">“Besides spiritual formation, solid grounding in doctrine is required: in theology, ethics and philosophy, at least, proportioned to the age, condition and abilities of each </w:t>
      </w:r>
      <w:r>
        <w:rPr>
          <w:rFonts w:ascii="Book Antiqua" w:eastAsia="Calibri" w:hAnsi="Book Antiqua" w:cs="Times New Roman"/>
          <w:sz w:val="24"/>
        </w:rPr>
        <w:t>[lay person]</w:t>
      </w:r>
      <w:r w:rsidRPr="005E36ED">
        <w:rPr>
          <w:rFonts w:ascii="Book Antiqua" w:eastAsia="Calibri" w:hAnsi="Book Antiqua" w:cs="Times New Roman"/>
          <w:sz w:val="24"/>
        </w:rPr>
        <w:t>.”</w:t>
      </w:r>
      <w:r>
        <w:rPr>
          <w:rStyle w:val="FootnoteReference"/>
          <w:rFonts w:ascii="Book Antiqua" w:eastAsia="Calibri" w:hAnsi="Book Antiqua" w:cs="Times New Roman"/>
          <w:sz w:val="24"/>
        </w:rPr>
        <w:footnoteReference w:id="46"/>
      </w:r>
      <w:r w:rsidR="002645F6">
        <w:rPr>
          <w:rFonts w:ascii="Book Antiqua" w:eastAsia="Calibri" w:hAnsi="Book Antiqua" w:cs="Times New Roman"/>
          <w:sz w:val="24"/>
        </w:rPr>
        <w:t xml:space="preserve">  </w:t>
      </w:r>
      <w:r w:rsidR="00820D4B">
        <w:rPr>
          <w:rFonts w:ascii="Book Antiqua" w:eastAsia="Calibri" w:hAnsi="Book Antiqua" w:cs="Times New Roman"/>
          <w:sz w:val="24"/>
        </w:rPr>
        <w:t>Roman Catholic l</w:t>
      </w:r>
      <w:r w:rsidR="002645F6">
        <w:rPr>
          <w:rFonts w:ascii="Book Antiqua" w:eastAsia="Calibri" w:hAnsi="Book Antiqua" w:cs="Times New Roman"/>
          <w:sz w:val="24"/>
        </w:rPr>
        <w:t xml:space="preserve">ay people are anointed for theological judgment, for the right stewardship of the </w:t>
      </w:r>
      <w:r w:rsidR="002645F6" w:rsidRPr="008F24E2">
        <w:rPr>
          <w:rFonts w:ascii="Book Antiqua" w:eastAsia="Calibri" w:hAnsi="Book Antiqua" w:cs="Times New Roman"/>
          <w:i/>
          <w:sz w:val="24"/>
        </w:rPr>
        <w:t>sensus fidei</w:t>
      </w:r>
      <w:r w:rsidR="002645F6">
        <w:rPr>
          <w:rFonts w:ascii="Book Antiqua" w:eastAsia="Calibri" w:hAnsi="Book Antiqua" w:cs="Times New Roman"/>
          <w:sz w:val="24"/>
        </w:rPr>
        <w:t xml:space="preserve">: but judgment only develops with time and training.  </w:t>
      </w:r>
    </w:p>
    <w:p w14:paraId="75DA8C19" w14:textId="501590BD" w:rsidR="00820D4B" w:rsidRDefault="002645F6" w:rsidP="004E7ACC">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 </w:t>
      </w:r>
      <w:r w:rsidR="00820D4B">
        <w:rPr>
          <w:rFonts w:ascii="Book Antiqua" w:eastAsia="Calibri" w:hAnsi="Book Antiqua" w:cs="Times New Roman"/>
          <w:sz w:val="24"/>
        </w:rPr>
        <w:t>One could say that</w:t>
      </w:r>
      <w:r>
        <w:rPr>
          <w:rFonts w:ascii="Book Antiqua" w:eastAsia="Calibri" w:hAnsi="Book Antiqua" w:cs="Times New Roman"/>
          <w:sz w:val="24"/>
        </w:rPr>
        <w:t xml:space="preserve"> dialogue requires </w:t>
      </w:r>
      <w:r w:rsidR="00D44A50">
        <w:rPr>
          <w:rFonts w:ascii="Book Antiqua" w:eastAsia="Calibri" w:hAnsi="Book Antiqua" w:cs="Times New Roman"/>
          <w:sz w:val="24"/>
        </w:rPr>
        <w:t xml:space="preserve">a double layer of education.  </w:t>
      </w:r>
      <w:r w:rsidR="00820D4B">
        <w:rPr>
          <w:rFonts w:ascii="Book Antiqua" w:eastAsia="Calibri" w:hAnsi="Book Antiqua" w:cs="Times New Roman"/>
          <w:sz w:val="24"/>
        </w:rPr>
        <w:t>Most obviously</w:t>
      </w:r>
      <w:r>
        <w:rPr>
          <w:rFonts w:ascii="Book Antiqua" w:eastAsia="Calibri" w:hAnsi="Book Antiqua" w:cs="Times New Roman"/>
          <w:sz w:val="24"/>
        </w:rPr>
        <w:t xml:space="preserve">, lay people need an adequate understanding of their own belief system as well as initial awareness of what the dialogue partner believes.  </w:t>
      </w:r>
      <w:r w:rsidR="00820D4B">
        <w:rPr>
          <w:rFonts w:ascii="Book Antiqua" w:eastAsia="Calibri" w:hAnsi="Book Antiqua" w:cs="Times New Roman"/>
          <w:sz w:val="24"/>
        </w:rPr>
        <w:t>But</w:t>
      </w:r>
      <w:r>
        <w:rPr>
          <w:rFonts w:ascii="Book Antiqua" w:eastAsia="Calibri" w:hAnsi="Book Antiqua" w:cs="Times New Roman"/>
          <w:sz w:val="24"/>
        </w:rPr>
        <w:t xml:space="preserve"> they </w:t>
      </w:r>
      <w:r w:rsidR="004E7ACC">
        <w:rPr>
          <w:rFonts w:ascii="Book Antiqua" w:eastAsia="Calibri" w:hAnsi="Book Antiqua" w:cs="Times New Roman"/>
          <w:sz w:val="24"/>
        </w:rPr>
        <w:t xml:space="preserve">also </w:t>
      </w:r>
      <w:r>
        <w:rPr>
          <w:rFonts w:ascii="Book Antiqua" w:eastAsia="Calibri" w:hAnsi="Book Antiqua" w:cs="Times New Roman"/>
          <w:sz w:val="24"/>
        </w:rPr>
        <w:t xml:space="preserve">need </w:t>
      </w:r>
      <w:r w:rsidR="007802AC">
        <w:rPr>
          <w:rFonts w:ascii="Book Antiqua" w:eastAsia="Calibri" w:hAnsi="Book Antiqua" w:cs="Times New Roman"/>
          <w:sz w:val="24"/>
        </w:rPr>
        <w:t>some</w:t>
      </w:r>
      <w:r>
        <w:rPr>
          <w:rFonts w:ascii="Book Antiqua" w:eastAsia="Calibri" w:hAnsi="Book Antiqua" w:cs="Times New Roman"/>
          <w:sz w:val="24"/>
        </w:rPr>
        <w:t xml:space="preserve"> grounding in </w:t>
      </w:r>
      <w:r w:rsidR="00820D4B">
        <w:rPr>
          <w:rFonts w:ascii="Book Antiqua" w:eastAsia="Calibri" w:hAnsi="Book Antiqua" w:cs="Times New Roman"/>
          <w:sz w:val="24"/>
        </w:rPr>
        <w:t>the art and science of dialogue</w:t>
      </w:r>
      <w:r>
        <w:rPr>
          <w:rFonts w:ascii="Book Antiqua" w:eastAsia="Calibri" w:hAnsi="Book Antiqua" w:cs="Times New Roman"/>
          <w:sz w:val="24"/>
        </w:rPr>
        <w:t xml:space="preserve"> before they begin to engage</w:t>
      </w:r>
      <w:r w:rsidR="00820D4B">
        <w:rPr>
          <w:rFonts w:ascii="Book Antiqua" w:eastAsia="Calibri" w:hAnsi="Book Antiqua" w:cs="Times New Roman"/>
          <w:sz w:val="24"/>
        </w:rPr>
        <w:t xml:space="preserve">.  </w:t>
      </w:r>
      <w:r w:rsidR="007802AC">
        <w:rPr>
          <w:rFonts w:ascii="Book Antiqua" w:eastAsia="Calibri" w:hAnsi="Book Antiqua" w:cs="Times New Roman"/>
          <w:sz w:val="24"/>
        </w:rPr>
        <w:t>They need examples of the kind of</w:t>
      </w:r>
      <w:r w:rsidR="00820D4B">
        <w:rPr>
          <w:rFonts w:ascii="Book Antiqua" w:eastAsia="Calibri" w:hAnsi="Book Antiqua" w:cs="Times New Roman"/>
          <w:sz w:val="24"/>
        </w:rPr>
        <w:t xml:space="preserve"> communications and attitudes </w:t>
      </w:r>
      <w:r w:rsidR="007802AC">
        <w:rPr>
          <w:rFonts w:ascii="Book Antiqua" w:eastAsia="Calibri" w:hAnsi="Book Antiqua" w:cs="Times New Roman"/>
          <w:sz w:val="24"/>
        </w:rPr>
        <w:t xml:space="preserve">that </w:t>
      </w:r>
      <w:r w:rsidR="007E1BC2">
        <w:rPr>
          <w:rFonts w:ascii="Book Antiqua" w:eastAsia="Calibri" w:hAnsi="Book Antiqua" w:cs="Times New Roman"/>
          <w:sz w:val="24"/>
        </w:rPr>
        <w:t>can take</w:t>
      </w:r>
      <w:r w:rsidR="00820D4B">
        <w:rPr>
          <w:rFonts w:ascii="Book Antiqua" w:eastAsia="Calibri" w:hAnsi="Book Antiqua" w:cs="Times New Roman"/>
          <w:sz w:val="24"/>
        </w:rPr>
        <w:t xml:space="preserve"> an ordinary conversation and turning it into a dialogue, which is a different </w:t>
      </w:r>
      <w:r w:rsidR="007802AC">
        <w:rPr>
          <w:rFonts w:ascii="Book Antiqua" w:eastAsia="Calibri" w:hAnsi="Book Antiqua" w:cs="Times New Roman"/>
          <w:sz w:val="24"/>
        </w:rPr>
        <w:t xml:space="preserve">beast </w:t>
      </w:r>
      <w:r w:rsidR="00820D4B">
        <w:rPr>
          <w:rFonts w:ascii="Book Antiqua" w:eastAsia="Calibri" w:hAnsi="Book Antiqua" w:cs="Times New Roman"/>
          <w:sz w:val="24"/>
        </w:rPr>
        <w:t>altogether</w:t>
      </w:r>
      <w:r w:rsidR="007802AC">
        <w:rPr>
          <w:rFonts w:ascii="Book Antiqua" w:eastAsia="Calibri" w:hAnsi="Book Antiqua" w:cs="Times New Roman"/>
          <w:sz w:val="24"/>
        </w:rPr>
        <w:t xml:space="preserve">.  They need to know if their </w:t>
      </w:r>
      <w:r w:rsidR="00820D4B">
        <w:rPr>
          <w:rFonts w:ascii="Book Antiqua" w:eastAsia="Calibri" w:hAnsi="Book Antiqua" w:cs="Times New Roman"/>
          <w:sz w:val="24"/>
        </w:rPr>
        <w:t xml:space="preserve">dialogue </w:t>
      </w:r>
      <w:r w:rsidR="00A16A70">
        <w:rPr>
          <w:rFonts w:ascii="Book Antiqua" w:eastAsia="Calibri" w:hAnsi="Book Antiqua" w:cs="Times New Roman"/>
          <w:sz w:val="24"/>
        </w:rPr>
        <w:t xml:space="preserve">should </w:t>
      </w:r>
      <w:r w:rsidR="00820D4B">
        <w:rPr>
          <w:rFonts w:ascii="Book Antiqua" w:eastAsia="Calibri" w:hAnsi="Book Antiqua" w:cs="Times New Roman"/>
          <w:sz w:val="24"/>
        </w:rPr>
        <w:t>be loosely or tightly structured</w:t>
      </w:r>
      <w:r w:rsidR="007E1BC2">
        <w:rPr>
          <w:rFonts w:ascii="Book Antiqua" w:eastAsia="Calibri" w:hAnsi="Book Antiqua" w:cs="Times New Roman"/>
          <w:sz w:val="24"/>
        </w:rPr>
        <w:t>; they need to establish ground rules; they need a vision of the</w:t>
      </w:r>
      <w:r w:rsidR="00820D4B">
        <w:rPr>
          <w:rFonts w:ascii="Book Antiqua" w:eastAsia="Calibri" w:hAnsi="Book Antiqua" w:cs="Times New Roman"/>
          <w:sz w:val="24"/>
        </w:rPr>
        <w:t xml:space="preserve"> desired result</w:t>
      </w:r>
      <w:r w:rsidR="00A16A70">
        <w:rPr>
          <w:rFonts w:ascii="Book Antiqua" w:eastAsia="Calibri" w:hAnsi="Book Antiqua" w:cs="Times New Roman"/>
          <w:sz w:val="24"/>
        </w:rPr>
        <w:t xml:space="preserve">, which is </w:t>
      </w:r>
      <w:r w:rsidR="00820D4B">
        <w:rPr>
          <w:rFonts w:ascii="Book Antiqua" w:eastAsia="Calibri" w:hAnsi="Book Antiqua" w:cs="Times New Roman"/>
          <w:sz w:val="24"/>
        </w:rPr>
        <w:t xml:space="preserve">the </w:t>
      </w:r>
      <w:r w:rsidR="007E1BC2">
        <w:rPr>
          <w:rFonts w:ascii="Book Antiqua" w:eastAsia="Calibri" w:hAnsi="Book Antiqua" w:cs="Times New Roman"/>
          <w:sz w:val="24"/>
        </w:rPr>
        <w:t xml:space="preserve">creation </w:t>
      </w:r>
      <w:r w:rsidR="00820D4B">
        <w:rPr>
          <w:rFonts w:ascii="Book Antiqua" w:eastAsia="Calibri" w:hAnsi="Book Antiqua" w:cs="Times New Roman"/>
          <w:sz w:val="24"/>
        </w:rPr>
        <w:t>of common learning</w:t>
      </w:r>
      <w:r w:rsidR="007802AC">
        <w:rPr>
          <w:rFonts w:ascii="Book Antiqua" w:eastAsia="Calibri" w:hAnsi="Book Antiqua" w:cs="Times New Roman"/>
          <w:sz w:val="24"/>
        </w:rPr>
        <w:t>.</w:t>
      </w:r>
      <w:r w:rsidR="00820D4B">
        <w:rPr>
          <w:rFonts w:ascii="Book Antiqua" w:eastAsia="Calibri" w:hAnsi="Book Antiqua" w:cs="Times New Roman"/>
          <w:sz w:val="24"/>
        </w:rPr>
        <w:t xml:space="preserve"> </w:t>
      </w:r>
      <w:r w:rsidR="00A16A70">
        <w:rPr>
          <w:rFonts w:ascii="Book Antiqua" w:eastAsia="Calibri" w:hAnsi="Book Antiqua" w:cs="Times New Roman"/>
          <w:sz w:val="24"/>
        </w:rPr>
        <w:t xml:space="preserve"> </w:t>
      </w:r>
      <w:r w:rsidR="00820D4B">
        <w:rPr>
          <w:rFonts w:ascii="Book Antiqua" w:eastAsia="Calibri" w:hAnsi="Book Antiqua" w:cs="Times New Roman"/>
          <w:sz w:val="24"/>
        </w:rPr>
        <w:t xml:space="preserve"> </w:t>
      </w:r>
      <w:r>
        <w:rPr>
          <w:rFonts w:ascii="Book Antiqua" w:eastAsia="Calibri" w:hAnsi="Book Antiqua" w:cs="Times New Roman"/>
          <w:sz w:val="24"/>
        </w:rPr>
        <w:t xml:space="preserve">This leads to </w:t>
      </w:r>
      <w:r w:rsidR="007E1BC2">
        <w:rPr>
          <w:rFonts w:ascii="Book Antiqua" w:eastAsia="Calibri" w:hAnsi="Book Antiqua" w:cs="Times New Roman"/>
          <w:sz w:val="24"/>
        </w:rPr>
        <w:t>our</w:t>
      </w:r>
      <w:r>
        <w:rPr>
          <w:rFonts w:ascii="Book Antiqua" w:eastAsia="Calibri" w:hAnsi="Book Antiqua" w:cs="Times New Roman"/>
          <w:sz w:val="24"/>
        </w:rPr>
        <w:t xml:space="preserve"> second </w:t>
      </w:r>
      <w:r w:rsidR="008F24E2">
        <w:rPr>
          <w:rFonts w:ascii="Book Antiqua" w:eastAsia="Calibri" w:hAnsi="Book Antiqua" w:cs="Times New Roman"/>
          <w:sz w:val="24"/>
        </w:rPr>
        <w:t xml:space="preserve">cultural </w:t>
      </w:r>
      <w:r>
        <w:rPr>
          <w:rFonts w:ascii="Book Antiqua" w:eastAsia="Calibri" w:hAnsi="Book Antiqua" w:cs="Times New Roman"/>
          <w:sz w:val="24"/>
        </w:rPr>
        <w:t>obstacle</w:t>
      </w:r>
      <w:r w:rsidR="008F24E2">
        <w:rPr>
          <w:rFonts w:ascii="Book Antiqua" w:eastAsia="Calibri" w:hAnsi="Book Antiqua" w:cs="Times New Roman"/>
          <w:sz w:val="24"/>
        </w:rPr>
        <w:t xml:space="preserve"> to lay dialogue</w:t>
      </w:r>
      <w:r>
        <w:rPr>
          <w:rFonts w:ascii="Book Antiqua" w:eastAsia="Calibri" w:hAnsi="Book Antiqua" w:cs="Times New Roman"/>
          <w:sz w:val="24"/>
        </w:rPr>
        <w:t xml:space="preserve">: </w:t>
      </w:r>
      <w:r w:rsidR="008F24E2">
        <w:rPr>
          <w:rFonts w:ascii="Book Antiqua" w:eastAsia="Calibri" w:hAnsi="Book Antiqua" w:cs="Times New Roman"/>
          <w:sz w:val="24"/>
        </w:rPr>
        <w:t>a</w:t>
      </w:r>
      <w:r>
        <w:rPr>
          <w:rFonts w:ascii="Book Antiqua" w:eastAsia="Calibri" w:hAnsi="Book Antiqua" w:cs="Times New Roman"/>
          <w:sz w:val="24"/>
        </w:rPr>
        <w:t xml:space="preserve"> lack of </w:t>
      </w:r>
      <w:r w:rsidR="00E52149">
        <w:rPr>
          <w:rFonts w:ascii="Book Antiqua" w:eastAsia="Calibri" w:hAnsi="Book Antiqua" w:cs="Times New Roman"/>
          <w:sz w:val="24"/>
        </w:rPr>
        <w:lastRenderedPageBreak/>
        <w:t xml:space="preserve">access to </w:t>
      </w:r>
      <w:r w:rsidR="008F24E2">
        <w:rPr>
          <w:rFonts w:ascii="Book Antiqua" w:eastAsia="Calibri" w:hAnsi="Book Antiqua" w:cs="Times New Roman"/>
          <w:sz w:val="24"/>
        </w:rPr>
        <w:t xml:space="preserve">dialogic </w:t>
      </w:r>
      <w:r w:rsidRPr="00820D4B">
        <w:rPr>
          <w:rFonts w:ascii="Book Antiqua" w:eastAsia="Calibri" w:hAnsi="Book Antiqua" w:cs="Times New Roman"/>
          <w:i/>
          <w:sz w:val="24"/>
        </w:rPr>
        <w:t>method</w:t>
      </w:r>
      <w:r>
        <w:rPr>
          <w:rFonts w:ascii="Book Antiqua" w:eastAsia="Calibri" w:hAnsi="Book Antiqua" w:cs="Times New Roman"/>
          <w:sz w:val="24"/>
        </w:rPr>
        <w:t xml:space="preserve">.   </w:t>
      </w:r>
      <w:r w:rsidR="007802AC">
        <w:rPr>
          <w:rFonts w:ascii="Book Antiqua" w:eastAsia="Calibri" w:hAnsi="Book Antiqua" w:cs="Times New Roman"/>
          <w:sz w:val="24"/>
        </w:rPr>
        <w:t xml:space="preserve">By “method” I do </w:t>
      </w:r>
      <w:r w:rsidR="00820D4B">
        <w:rPr>
          <w:rFonts w:ascii="Book Antiqua" w:eastAsia="Calibri" w:hAnsi="Book Antiqua" w:cs="Times New Roman"/>
          <w:sz w:val="24"/>
        </w:rPr>
        <w:t>not necessarily mean a</w:t>
      </w:r>
      <w:r w:rsidR="007802AC">
        <w:rPr>
          <w:rFonts w:ascii="Book Antiqua" w:eastAsia="Calibri" w:hAnsi="Book Antiqua" w:cs="Times New Roman"/>
          <w:sz w:val="24"/>
        </w:rPr>
        <w:t xml:space="preserve"> </w:t>
      </w:r>
      <w:r w:rsidR="00820D4B">
        <w:rPr>
          <w:rFonts w:ascii="Book Antiqua" w:eastAsia="Calibri" w:hAnsi="Book Antiqua" w:cs="Times New Roman"/>
          <w:sz w:val="24"/>
        </w:rPr>
        <w:t xml:space="preserve">list of </w:t>
      </w:r>
      <w:r w:rsidR="007802AC">
        <w:rPr>
          <w:rFonts w:ascii="Book Antiqua" w:eastAsia="Calibri" w:hAnsi="Book Antiqua" w:cs="Times New Roman"/>
          <w:sz w:val="24"/>
        </w:rPr>
        <w:t xml:space="preserve">topics to tackle in a </w:t>
      </w:r>
      <w:proofErr w:type="gramStart"/>
      <w:r w:rsidR="007802AC">
        <w:rPr>
          <w:rFonts w:ascii="Book Antiqua" w:eastAsia="Calibri" w:hAnsi="Book Antiqua" w:cs="Times New Roman"/>
          <w:sz w:val="24"/>
        </w:rPr>
        <w:t>particular order</w:t>
      </w:r>
      <w:proofErr w:type="gramEnd"/>
      <w:r w:rsidR="007802AC">
        <w:rPr>
          <w:rFonts w:ascii="Book Antiqua" w:eastAsia="Calibri" w:hAnsi="Book Antiqua" w:cs="Times New Roman"/>
          <w:sz w:val="24"/>
        </w:rPr>
        <w:t>, although dialogic method could provide suggestions (like a lesson plan to a teacher).  Rather, dialogic method provides a portrait of what ecumenical encounter looks like when it is going well.    It demystifies dialogue by breaking it into separate activities which can begin to seem natural over time, increasing the likelihood that participants can answer the question: “What am I doing when I am in dialogue?”</w:t>
      </w:r>
      <w:r w:rsidR="007802AC">
        <w:rPr>
          <w:rStyle w:val="FootnoteReference"/>
          <w:rFonts w:ascii="Book Antiqua" w:eastAsia="Calibri" w:hAnsi="Book Antiqua" w:cs="Times New Roman"/>
          <w:sz w:val="24"/>
        </w:rPr>
        <w:footnoteReference w:id="47"/>
      </w:r>
    </w:p>
    <w:p w14:paraId="1749305C" w14:textId="7D066E70" w:rsidR="00AD6BE4" w:rsidRDefault="007802AC" w:rsidP="004E7ACC">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If doctrine is mysterious to lay people, so is the method by which their doctrinal differences might be named, explored and (God willing) transformed.  That is the reason why Chapter Three in this book will </w:t>
      </w:r>
      <w:r w:rsidR="00A16A70">
        <w:rPr>
          <w:rFonts w:ascii="Book Antiqua" w:eastAsia="Calibri" w:hAnsi="Book Antiqua" w:cs="Times New Roman"/>
          <w:sz w:val="24"/>
        </w:rPr>
        <w:t xml:space="preserve">not leave the process of dialogue to chance or to simple </w:t>
      </w:r>
      <w:r w:rsidR="00AD6BE4">
        <w:rPr>
          <w:rFonts w:ascii="Book Antiqua" w:eastAsia="Calibri" w:hAnsi="Book Antiqua" w:cs="Times New Roman"/>
          <w:sz w:val="24"/>
        </w:rPr>
        <w:t>“</w:t>
      </w:r>
      <w:r w:rsidR="00A16A70">
        <w:rPr>
          <w:rFonts w:ascii="Book Antiqua" w:eastAsia="Calibri" w:hAnsi="Book Antiqua" w:cs="Times New Roman"/>
          <w:sz w:val="24"/>
        </w:rPr>
        <w:t>trial and error,</w:t>
      </w:r>
      <w:r w:rsidR="00AD6BE4">
        <w:rPr>
          <w:rFonts w:ascii="Book Antiqua" w:eastAsia="Calibri" w:hAnsi="Book Antiqua" w:cs="Times New Roman"/>
          <w:sz w:val="24"/>
        </w:rPr>
        <w:t>”</w:t>
      </w:r>
      <w:r w:rsidR="00A16A70">
        <w:rPr>
          <w:rFonts w:ascii="Book Antiqua" w:eastAsia="Calibri" w:hAnsi="Book Antiqua" w:cs="Times New Roman"/>
          <w:sz w:val="24"/>
        </w:rPr>
        <w:t xml:space="preserve"> but will </w:t>
      </w:r>
      <w:r w:rsidR="00BA0A05">
        <w:rPr>
          <w:rFonts w:ascii="Book Antiqua" w:eastAsia="Calibri" w:hAnsi="Book Antiqua" w:cs="Times New Roman"/>
          <w:sz w:val="24"/>
        </w:rPr>
        <w:t>provide</w:t>
      </w:r>
      <w:r w:rsidR="00A16A70">
        <w:rPr>
          <w:rFonts w:ascii="Book Antiqua" w:eastAsia="Calibri" w:hAnsi="Book Antiqua" w:cs="Times New Roman"/>
          <w:sz w:val="24"/>
        </w:rPr>
        <w:t xml:space="preserve"> lay theologians with a</w:t>
      </w:r>
      <w:r w:rsidR="00BA0A05">
        <w:rPr>
          <w:rFonts w:ascii="Book Antiqua" w:eastAsia="Calibri" w:hAnsi="Book Antiqua" w:cs="Times New Roman"/>
          <w:sz w:val="24"/>
        </w:rPr>
        <w:t>n actual</w:t>
      </w:r>
      <w:r w:rsidR="00A16A70">
        <w:rPr>
          <w:rFonts w:ascii="Book Antiqua" w:eastAsia="Calibri" w:hAnsi="Book Antiqua" w:cs="Times New Roman"/>
          <w:sz w:val="24"/>
        </w:rPr>
        <w:t xml:space="preserve"> method.</w:t>
      </w:r>
      <w:r w:rsidR="00AD6BE4" w:rsidRPr="00AD6BE4">
        <w:rPr>
          <w:rStyle w:val="FootnoteReference"/>
          <w:rFonts w:ascii="Book Antiqua" w:eastAsia="Calibri" w:hAnsi="Book Antiqua" w:cs="Times New Roman"/>
          <w:sz w:val="24"/>
        </w:rPr>
        <w:t xml:space="preserve"> </w:t>
      </w:r>
      <w:r w:rsidR="00AD6BE4">
        <w:rPr>
          <w:rStyle w:val="FootnoteReference"/>
          <w:rFonts w:ascii="Book Antiqua" w:eastAsia="Calibri" w:hAnsi="Book Antiqua" w:cs="Times New Roman"/>
          <w:sz w:val="24"/>
        </w:rPr>
        <w:footnoteReference w:id="48"/>
      </w:r>
      <w:r w:rsidR="00AD6BE4">
        <w:rPr>
          <w:rFonts w:ascii="Book Antiqua" w:eastAsia="Calibri" w:hAnsi="Book Antiqua" w:cs="Times New Roman"/>
          <w:sz w:val="24"/>
        </w:rPr>
        <w:t xml:space="preserve">  </w:t>
      </w:r>
      <w:r w:rsidR="00A16A70">
        <w:rPr>
          <w:rFonts w:ascii="Book Antiqua" w:eastAsia="Calibri" w:hAnsi="Book Antiqua" w:cs="Times New Roman"/>
          <w:sz w:val="24"/>
        </w:rPr>
        <w:t xml:space="preserve">   </w:t>
      </w:r>
      <w:r w:rsidR="00AD6BE4">
        <w:rPr>
          <w:rFonts w:ascii="Book Antiqua" w:eastAsia="Calibri" w:hAnsi="Book Antiqua" w:cs="Times New Roman"/>
          <w:sz w:val="24"/>
        </w:rPr>
        <w:t>My recommendation is an adaptation of</w:t>
      </w:r>
      <w:r w:rsidR="00A16A70">
        <w:rPr>
          <w:rFonts w:ascii="Book Antiqua" w:eastAsia="Calibri" w:hAnsi="Book Antiqua" w:cs="Times New Roman"/>
          <w:sz w:val="24"/>
        </w:rPr>
        <w:t xml:space="preserve"> the theological method of </w:t>
      </w:r>
      <w:r w:rsidR="00AD6BE4">
        <w:rPr>
          <w:rFonts w:ascii="Book Antiqua" w:eastAsia="Calibri" w:hAnsi="Book Antiqua" w:cs="Times New Roman"/>
          <w:sz w:val="24"/>
        </w:rPr>
        <w:t xml:space="preserve">Bernard Lonergan, </w:t>
      </w:r>
      <w:r w:rsidR="00A16A70">
        <w:rPr>
          <w:rFonts w:ascii="Book Antiqua" w:eastAsia="Calibri" w:hAnsi="Book Antiqua" w:cs="Times New Roman"/>
          <w:sz w:val="24"/>
        </w:rPr>
        <w:t xml:space="preserve">a Roman Catholic scholar </w:t>
      </w:r>
      <w:r w:rsidR="00AD6BE4">
        <w:rPr>
          <w:rFonts w:ascii="Book Antiqua" w:eastAsia="Calibri" w:hAnsi="Book Antiqua" w:cs="Times New Roman"/>
          <w:sz w:val="24"/>
        </w:rPr>
        <w:t>and Jesuit priest</w:t>
      </w:r>
      <w:r w:rsidR="00A16A70">
        <w:rPr>
          <w:rFonts w:ascii="Book Antiqua" w:eastAsia="Calibri" w:hAnsi="Book Antiqua" w:cs="Times New Roman"/>
          <w:sz w:val="24"/>
        </w:rPr>
        <w:t xml:space="preserve"> who died in 1984.  Lonergan’s method has the advantage of being based on his </w:t>
      </w:r>
      <w:r w:rsidR="00AD6BE4">
        <w:rPr>
          <w:rFonts w:ascii="Book Antiqua" w:eastAsia="Calibri" w:hAnsi="Book Antiqua" w:cs="Times New Roman"/>
          <w:sz w:val="24"/>
        </w:rPr>
        <w:t>portrait</w:t>
      </w:r>
      <w:r w:rsidR="00A16A70">
        <w:rPr>
          <w:rFonts w:ascii="Book Antiqua" w:eastAsia="Calibri" w:hAnsi="Book Antiqua" w:cs="Times New Roman"/>
          <w:sz w:val="24"/>
        </w:rPr>
        <w:t xml:space="preserve"> of how minds naturally work when they are </w:t>
      </w:r>
      <w:r w:rsidR="00AD6BE4">
        <w:rPr>
          <w:rFonts w:ascii="Book Antiqua" w:eastAsia="Calibri" w:hAnsi="Book Antiqua" w:cs="Times New Roman"/>
          <w:sz w:val="24"/>
        </w:rPr>
        <w:t xml:space="preserve">seeking to </w:t>
      </w:r>
      <w:r w:rsidR="00EF2FCC">
        <w:rPr>
          <w:rFonts w:ascii="Book Antiqua" w:eastAsia="Calibri" w:hAnsi="Book Antiqua" w:cs="Times New Roman"/>
          <w:sz w:val="24"/>
        </w:rPr>
        <w:t xml:space="preserve">understand, to make solid judgments and </w:t>
      </w:r>
      <w:r w:rsidR="00490BA2">
        <w:rPr>
          <w:rFonts w:ascii="Book Antiqua" w:eastAsia="Calibri" w:hAnsi="Book Antiqua" w:cs="Times New Roman"/>
          <w:sz w:val="24"/>
        </w:rPr>
        <w:t>wise decisions</w:t>
      </w:r>
      <w:r w:rsidR="00AD6BE4">
        <w:rPr>
          <w:rFonts w:ascii="Book Antiqua" w:eastAsia="Calibri" w:hAnsi="Book Antiqua" w:cs="Times New Roman"/>
          <w:sz w:val="24"/>
        </w:rPr>
        <w:t xml:space="preserve">.  Lonergan himself acknowledged the usefulness of his method for ecumenical work. He wrote, </w:t>
      </w:r>
      <w:r w:rsidR="00EF2FCC">
        <w:rPr>
          <w:rFonts w:ascii="Book Antiqua" w:eastAsia="Calibri" w:hAnsi="Book Antiqua" w:cs="Times New Roman"/>
          <w:sz w:val="24"/>
        </w:rPr>
        <w:t>“While the existence of division and the slowness in recovering unity are deeply to be lamented, it is not to be forgotten that the division resides mainly in the cognitive meaning of the Christian message.” Meanwhile, the experience of being Christian continues to be chock full of “matters on which most Christians very largely agree.”</w:t>
      </w:r>
      <w:r w:rsidR="00EF2FCC" w:rsidRPr="00EF2FCC">
        <w:rPr>
          <w:rStyle w:val="FootnoteReference"/>
          <w:rFonts w:ascii="Book Antiqua" w:eastAsia="Calibri" w:hAnsi="Book Antiqua" w:cs="Times New Roman"/>
          <w:sz w:val="24"/>
        </w:rPr>
        <w:t xml:space="preserve"> </w:t>
      </w:r>
      <w:r w:rsidR="00EF2FCC">
        <w:rPr>
          <w:rStyle w:val="FootnoteReference"/>
          <w:rFonts w:ascii="Book Antiqua" w:eastAsia="Calibri" w:hAnsi="Book Antiqua" w:cs="Times New Roman"/>
          <w:sz w:val="24"/>
        </w:rPr>
        <w:footnoteReference w:id="49"/>
      </w:r>
      <w:r w:rsidR="00EF2FCC">
        <w:rPr>
          <w:rFonts w:ascii="Book Antiqua" w:eastAsia="Calibri" w:hAnsi="Book Antiqua" w:cs="Times New Roman"/>
          <w:sz w:val="24"/>
        </w:rPr>
        <w:t xml:space="preserve">  What is needed is not just common witness and service but a pattern for thinking together, which Lonergan hoped his method would provide.</w:t>
      </w:r>
    </w:p>
    <w:p w14:paraId="0561AB1B" w14:textId="61857DDC" w:rsidR="00AD6BE4" w:rsidRDefault="00EF2FCC" w:rsidP="004E7ACC">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 </w:t>
      </w:r>
    </w:p>
    <w:p w14:paraId="1A0501D6" w14:textId="23D91885" w:rsidR="00490BA2" w:rsidRDefault="00EF2FCC" w:rsidP="009561B1">
      <w:pPr>
        <w:spacing w:line="360" w:lineRule="auto"/>
        <w:ind w:firstLine="720"/>
        <w:rPr>
          <w:rFonts w:ascii="Book Antiqua" w:eastAsia="Calibri" w:hAnsi="Book Antiqua" w:cs="Times New Roman"/>
          <w:sz w:val="24"/>
        </w:rPr>
      </w:pPr>
      <w:r>
        <w:rPr>
          <w:rFonts w:ascii="Book Antiqua" w:eastAsia="Calibri" w:hAnsi="Book Antiqua" w:cs="Times New Roman"/>
          <w:sz w:val="24"/>
        </w:rPr>
        <w:t>As I have been emphasizing throughout this chapter, one part of thinking together is making judgments</w:t>
      </w:r>
      <w:r w:rsidR="00AD6BE4">
        <w:rPr>
          <w:rFonts w:ascii="Book Antiqua" w:eastAsia="Calibri" w:hAnsi="Book Antiqua" w:cs="Times New Roman"/>
          <w:sz w:val="24"/>
        </w:rPr>
        <w:t xml:space="preserve">.  </w:t>
      </w:r>
      <w:r>
        <w:rPr>
          <w:rFonts w:ascii="Book Antiqua" w:eastAsia="Calibri" w:hAnsi="Book Antiqua" w:cs="Times New Roman"/>
          <w:sz w:val="24"/>
        </w:rPr>
        <w:t>D</w:t>
      </w:r>
      <w:r w:rsidR="00AD6BE4">
        <w:rPr>
          <w:rFonts w:ascii="Book Antiqua" w:eastAsia="Calibri" w:hAnsi="Book Antiqua" w:cs="Times New Roman"/>
          <w:sz w:val="24"/>
        </w:rPr>
        <w:t xml:space="preserve">octrine </w:t>
      </w:r>
      <w:r>
        <w:rPr>
          <w:rFonts w:ascii="Book Antiqua" w:eastAsia="Calibri" w:hAnsi="Book Antiqua" w:cs="Times New Roman"/>
          <w:sz w:val="24"/>
        </w:rPr>
        <w:t>is</w:t>
      </w:r>
      <w:r w:rsidR="00AD6BE4">
        <w:rPr>
          <w:rFonts w:ascii="Book Antiqua" w:eastAsia="Calibri" w:hAnsi="Book Antiqua" w:cs="Times New Roman"/>
          <w:sz w:val="24"/>
        </w:rPr>
        <w:t xml:space="preserve"> judgment, the “yes” or “no” of the church to </w:t>
      </w:r>
      <w:r w:rsidR="00AD6BE4">
        <w:rPr>
          <w:rFonts w:ascii="Book Antiqua" w:eastAsia="Calibri" w:hAnsi="Book Antiqua" w:cs="Times New Roman"/>
          <w:sz w:val="24"/>
        </w:rPr>
        <w:lastRenderedPageBreak/>
        <w:t xml:space="preserve">theological ideas.  Yet a common misconception of dialogue is that it must be totally “open-minded” to all possibilities without drawing any “yes” or “no” conclusions. </w:t>
      </w:r>
      <w:r w:rsidR="00490BA2">
        <w:rPr>
          <w:rFonts w:ascii="Book Antiqua" w:eastAsia="Calibri" w:hAnsi="Book Antiqua" w:cs="Times New Roman"/>
          <w:sz w:val="24"/>
        </w:rPr>
        <w:t>In contemporary Western culture, judgment is the black sheep of knowing, since it puts people in mind of “judgmentalism.”  Similarly, doctrine is not popular today for what I suspect are similar reasons.   It seems too clear, too cut-and-dried.  Could it</w:t>
      </w:r>
      <w:r w:rsidR="00490BA2" w:rsidRPr="00F90CAD">
        <w:rPr>
          <w:rFonts w:ascii="Book Antiqua" w:eastAsia="Calibri" w:hAnsi="Book Antiqua" w:cs="Times New Roman"/>
          <w:sz w:val="24"/>
        </w:rPr>
        <w:t xml:space="preserve"> be that we are reluctant to legitimize lay theological judgment not just because it tends to lack education, but more deeply, because we are ambivalent about judgment in general</w:t>
      </w:r>
      <w:r w:rsidR="00490BA2">
        <w:rPr>
          <w:rFonts w:ascii="Book Antiqua" w:eastAsia="Calibri" w:hAnsi="Book Antiqua" w:cs="Times New Roman"/>
          <w:sz w:val="24"/>
        </w:rPr>
        <w:t xml:space="preserve">?  </w:t>
      </w:r>
    </w:p>
    <w:p w14:paraId="2198EC86" w14:textId="77777777" w:rsidR="00490BA2" w:rsidRDefault="00490BA2" w:rsidP="00490BA2">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Yet </w:t>
      </w:r>
      <w:r w:rsidRPr="00F90CAD">
        <w:rPr>
          <w:rFonts w:ascii="Book Antiqua" w:eastAsia="Calibri" w:hAnsi="Book Antiqua" w:cs="Times New Roman"/>
          <w:sz w:val="24"/>
        </w:rPr>
        <w:t xml:space="preserve">judgment is the ownership of knowledge. I can’t think of any better way to honor someone than to trust their judgment: to give them the power of assent and dissent in their process of understanding their own lives.  In </w:t>
      </w:r>
      <w:r>
        <w:rPr>
          <w:rFonts w:ascii="Book Antiqua" w:eastAsia="Calibri" w:hAnsi="Book Antiqua" w:cs="Times New Roman"/>
          <w:sz w:val="24"/>
        </w:rPr>
        <w:t xml:space="preserve">ecumenical </w:t>
      </w:r>
      <w:r w:rsidRPr="00F90CAD">
        <w:rPr>
          <w:rFonts w:ascii="Book Antiqua" w:eastAsia="Calibri" w:hAnsi="Book Antiqua" w:cs="Times New Roman"/>
          <w:sz w:val="24"/>
        </w:rPr>
        <w:t xml:space="preserve">dialogue we legitimize the judgments of </w:t>
      </w:r>
      <w:r>
        <w:rPr>
          <w:rFonts w:ascii="Book Antiqua" w:eastAsia="Calibri" w:hAnsi="Book Antiqua" w:cs="Times New Roman"/>
          <w:sz w:val="24"/>
        </w:rPr>
        <w:t>Christians from other traditions</w:t>
      </w:r>
      <w:r w:rsidRPr="00F90CAD">
        <w:rPr>
          <w:rFonts w:ascii="Book Antiqua" w:eastAsia="Calibri" w:hAnsi="Book Antiqua" w:cs="Times New Roman"/>
          <w:sz w:val="24"/>
        </w:rPr>
        <w:t>, by honoring them.  However, we also set up an environment in which participants are attentive to their own judgments</w:t>
      </w:r>
      <w:r>
        <w:rPr>
          <w:rFonts w:ascii="Book Antiqua" w:eastAsia="Calibri" w:hAnsi="Book Antiqua" w:cs="Times New Roman"/>
          <w:sz w:val="24"/>
        </w:rPr>
        <w:t xml:space="preserve">, </w:t>
      </w:r>
      <w:r w:rsidRPr="00F90CAD">
        <w:rPr>
          <w:rFonts w:ascii="Book Antiqua" w:eastAsia="Calibri" w:hAnsi="Book Antiqua" w:cs="Times New Roman"/>
          <w:sz w:val="24"/>
        </w:rPr>
        <w:t>in which we learn to assent and dissent in a non-coercive way</w:t>
      </w:r>
      <w:r>
        <w:rPr>
          <w:rFonts w:ascii="Book Antiqua" w:eastAsia="Calibri" w:hAnsi="Book Antiqua" w:cs="Times New Roman"/>
          <w:sz w:val="24"/>
        </w:rPr>
        <w:t>. We</w:t>
      </w:r>
      <w:r w:rsidRPr="00F90CAD">
        <w:rPr>
          <w:rFonts w:ascii="Book Antiqua" w:eastAsia="Calibri" w:hAnsi="Book Antiqua" w:cs="Times New Roman"/>
          <w:sz w:val="24"/>
        </w:rPr>
        <w:t xml:space="preserve"> learn the skills and virtues </w:t>
      </w:r>
      <w:r>
        <w:rPr>
          <w:rFonts w:ascii="Book Antiqua" w:eastAsia="Calibri" w:hAnsi="Book Antiqua" w:cs="Times New Roman"/>
          <w:sz w:val="24"/>
        </w:rPr>
        <w:t>required for moving</w:t>
      </w:r>
      <w:r w:rsidRPr="00F90CAD">
        <w:rPr>
          <w:rFonts w:ascii="Book Antiqua" w:eastAsia="Calibri" w:hAnsi="Book Antiqua" w:cs="Times New Roman"/>
          <w:sz w:val="24"/>
        </w:rPr>
        <w:t xml:space="preserve"> forward </w:t>
      </w:r>
      <w:r>
        <w:rPr>
          <w:rFonts w:ascii="Book Antiqua" w:eastAsia="Calibri" w:hAnsi="Book Antiqua" w:cs="Times New Roman"/>
          <w:sz w:val="24"/>
        </w:rPr>
        <w:t>into new and common judgments.  These are skills that church people need in the wider world; they might as well acquire them by practicing on their Christian neighbors!</w:t>
      </w:r>
    </w:p>
    <w:p w14:paraId="446886DF" w14:textId="781A905F" w:rsidR="009561B1" w:rsidRDefault="00AD6BE4" w:rsidP="009561B1">
      <w:pPr>
        <w:spacing w:line="360" w:lineRule="auto"/>
        <w:ind w:firstLine="720"/>
        <w:rPr>
          <w:rFonts w:ascii="Book Antiqua" w:eastAsia="Calibri" w:hAnsi="Book Antiqua" w:cs="Times New Roman"/>
          <w:sz w:val="24"/>
        </w:rPr>
      </w:pPr>
      <w:r>
        <w:rPr>
          <w:rFonts w:ascii="Book Antiqua" w:eastAsia="Calibri" w:hAnsi="Book Antiqua" w:cs="Times New Roman"/>
          <w:sz w:val="24"/>
        </w:rPr>
        <w:t>I have been in situations where the judgment element in healthy dialogue was muted, and appropriately so</w:t>
      </w:r>
      <w:r w:rsidR="00BA0A05">
        <w:rPr>
          <w:rFonts w:ascii="Book Antiqua" w:eastAsia="Calibri" w:hAnsi="Book Antiqua" w:cs="Times New Roman"/>
          <w:sz w:val="24"/>
        </w:rPr>
        <w:t>,</w:t>
      </w:r>
      <w:r>
        <w:rPr>
          <w:rFonts w:ascii="Book Antiqua" w:eastAsia="Calibri" w:hAnsi="Book Antiqua" w:cs="Times New Roman"/>
          <w:sz w:val="24"/>
        </w:rPr>
        <w:t xml:space="preserve"> for </w:t>
      </w:r>
      <w:r w:rsidR="00BA0A05">
        <w:rPr>
          <w:rFonts w:ascii="Book Antiqua" w:eastAsia="Calibri" w:hAnsi="Book Antiqua" w:cs="Times New Roman"/>
          <w:sz w:val="24"/>
        </w:rPr>
        <w:t xml:space="preserve">a </w:t>
      </w:r>
      <w:proofErr w:type="gramStart"/>
      <w:r w:rsidR="00BA0A05">
        <w:rPr>
          <w:rFonts w:ascii="Book Antiqua" w:eastAsia="Calibri" w:hAnsi="Book Antiqua" w:cs="Times New Roman"/>
          <w:sz w:val="24"/>
        </w:rPr>
        <w:t>particular purpose</w:t>
      </w:r>
      <w:proofErr w:type="gramEnd"/>
      <w:r>
        <w:rPr>
          <w:rFonts w:ascii="Book Antiqua" w:eastAsia="Calibri" w:hAnsi="Book Antiqua" w:cs="Times New Roman"/>
          <w:sz w:val="24"/>
        </w:rPr>
        <w:t xml:space="preserve">.  But </w:t>
      </w:r>
      <w:r w:rsidR="009561B1">
        <w:rPr>
          <w:rFonts w:ascii="Book Antiqua" w:eastAsia="Calibri" w:hAnsi="Book Antiqua" w:cs="Times New Roman"/>
          <w:sz w:val="24"/>
        </w:rPr>
        <w:t>ecumenical dialogue works toward the development of a common and comprehensive viewpoint</w:t>
      </w:r>
      <w:r w:rsidR="00A63767">
        <w:rPr>
          <w:rFonts w:ascii="Book Antiqua" w:eastAsia="Calibri" w:hAnsi="Book Antiqua" w:cs="Times New Roman"/>
          <w:sz w:val="24"/>
        </w:rPr>
        <w:t>--</w:t>
      </w:r>
      <w:r w:rsidR="009561B1">
        <w:rPr>
          <w:rFonts w:ascii="Book Antiqua" w:eastAsia="Calibri" w:hAnsi="Book Antiqua" w:cs="Times New Roman"/>
          <w:sz w:val="24"/>
        </w:rPr>
        <w:t xml:space="preserve"> a deeply Christian viewpoint</w:t>
      </w:r>
      <w:r w:rsidR="00A63767">
        <w:rPr>
          <w:rFonts w:ascii="Book Antiqua" w:eastAsia="Calibri" w:hAnsi="Book Antiqua" w:cs="Times New Roman"/>
          <w:sz w:val="24"/>
        </w:rPr>
        <w:t xml:space="preserve">-- </w:t>
      </w:r>
      <w:r w:rsidR="009561B1">
        <w:rPr>
          <w:rFonts w:ascii="Book Antiqua" w:eastAsia="Calibri" w:hAnsi="Book Antiqua" w:cs="Times New Roman"/>
          <w:sz w:val="24"/>
        </w:rPr>
        <w:t xml:space="preserve">which involves the church in saying “yes” to some ideas and “no” to others.  It is precisely lay judgment that dialogue seeks to elicit, and to equip, especially the possibility of </w:t>
      </w:r>
      <w:r w:rsidR="00490BA2">
        <w:rPr>
          <w:rFonts w:ascii="Book Antiqua" w:eastAsia="Calibri" w:hAnsi="Book Antiqua" w:cs="Times New Roman"/>
          <w:sz w:val="24"/>
        </w:rPr>
        <w:t>judgments</w:t>
      </w:r>
      <w:r w:rsidR="009561B1">
        <w:rPr>
          <w:rFonts w:ascii="Book Antiqua" w:eastAsia="Calibri" w:hAnsi="Book Antiqua" w:cs="Times New Roman"/>
          <w:sz w:val="24"/>
        </w:rPr>
        <w:t xml:space="preserve"> that are new to </w:t>
      </w:r>
      <w:r w:rsidR="00490BA2">
        <w:rPr>
          <w:rFonts w:ascii="Book Antiqua" w:eastAsia="Calibri" w:hAnsi="Book Antiqua" w:cs="Times New Roman"/>
          <w:sz w:val="24"/>
        </w:rPr>
        <w:t>both parties</w:t>
      </w:r>
      <w:r w:rsidR="009561B1">
        <w:rPr>
          <w:rFonts w:ascii="Book Antiqua" w:eastAsia="Calibri" w:hAnsi="Book Antiqua" w:cs="Times New Roman"/>
          <w:sz w:val="24"/>
        </w:rPr>
        <w:t xml:space="preserve"> and that can be held in common. </w:t>
      </w:r>
      <w:r w:rsidR="00EF2FCC">
        <w:rPr>
          <w:rFonts w:ascii="Book Antiqua" w:eastAsia="Calibri" w:hAnsi="Book Antiqua" w:cs="Times New Roman"/>
          <w:sz w:val="24"/>
        </w:rPr>
        <w:t xml:space="preserve"> </w:t>
      </w:r>
      <w:r w:rsidR="00490BA2">
        <w:rPr>
          <w:rFonts w:ascii="Book Antiqua" w:eastAsia="Calibri" w:hAnsi="Book Antiqua" w:cs="Times New Roman"/>
          <w:sz w:val="24"/>
        </w:rPr>
        <w:t xml:space="preserve">This is an explicit goal of Lonergan’s method. </w:t>
      </w:r>
    </w:p>
    <w:p w14:paraId="58B701B3" w14:textId="791BE946" w:rsidR="00485802" w:rsidRDefault="001E42E5" w:rsidP="00CB58A8">
      <w:pPr>
        <w:spacing w:line="360" w:lineRule="auto"/>
        <w:ind w:firstLine="720"/>
        <w:rPr>
          <w:rFonts w:ascii="Book Antiqua" w:eastAsia="Calibri" w:hAnsi="Book Antiqua" w:cs="Times New Roman"/>
          <w:sz w:val="24"/>
        </w:rPr>
      </w:pPr>
      <w:r>
        <w:rPr>
          <w:rFonts w:ascii="Book Antiqua" w:eastAsia="Calibri" w:hAnsi="Book Antiqua" w:cs="Times New Roman"/>
          <w:sz w:val="24"/>
        </w:rPr>
        <w:t>Finally, judgment is closely related to the third</w:t>
      </w:r>
      <w:r w:rsidR="00407607">
        <w:rPr>
          <w:rFonts w:ascii="Book Antiqua" w:eastAsia="Calibri" w:hAnsi="Book Antiqua" w:cs="Times New Roman"/>
          <w:sz w:val="24"/>
        </w:rPr>
        <w:t xml:space="preserve"> cultural obstacle to lay doctrinal dialogue: the problem of </w:t>
      </w:r>
      <w:r w:rsidR="00407607" w:rsidRPr="00407607">
        <w:rPr>
          <w:rFonts w:ascii="Book Antiqua" w:eastAsia="Calibri" w:hAnsi="Book Antiqua" w:cs="Times New Roman"/>
          <w:i/>
          <w:sz w:val="24"/>
        </w:rPr>
        <w:t>legitimation</w:t>
      </w:r>
      <w:r w:rsidR="00407607">
        <w:rPr>
          <w:rFonts w:ascii="Book Antiqua" w:eastAsia="Calibri" w:hAnsi="Book Antiqua" w:cs="Times New Roman"/>
          <w:i/>
          <w:sz w:val="24"/>
        </w:rPr>
        <w:t>.</w:t>
      </w:r>
      <w:r w:rsidR="00407607" w:rsidRPr="00407607">
        <w:rPr>
          <w:rFonts w:ascii="Book Antiqua" w:eastAsia="Calibri" w:hAnsi="Book Antiqua" w:cs="Times New Roman"/>
          <w:sz w:val="24"/>
        </w:rPr>
        <w:t xml:space="preserve"> </w:t>
      </w:r>
      <w:r w:rsidR="00407607" w:rsidRPr="00F90CAD">
        <w:rPr>
          <w:rFonts w:ascii="Book Antiqua" w:eastAsia="Calibri" w:hAnsi="Book Antiqua" w:cs="Times New Roman"/>
          <w:sz w:val="24"/>
        </w:rPr>
        <w:t xml:space="preserve">Legitimation is happening when </w:t>
      </w:r>
      <w:r w:rsidR="00407607">
        <w:rPr>
          <w:rFonts w:ascii="Book Antiqua" w:eastAsia="Calibri" w:hAnsi="Book Antiqua" w:cs="Times New Roman"/>
          <w:sz w:val="24"/>
        </w:rPr>
        <w:t>pastors, priests and other authorities in a church community are</w:t>
      </w:r>
      <w:r w:rsidR="00407607" w:rsidRPr="00F90CAD">
        <w:rPr>
          <w:rFonts w:ascii="Book Antiqua" w:eastAsia="Calibri" w:hAnsi="Book Antiqua" w:cs="Times New Roman"/>
          <w:sz w:val="24"/>
        </w:rPr>
        <w:t xml:space="preserve"> willing to rest institutional consequences on what </w:t>
      </w:r>
      <w:r w:rsidR="00E42703">
        <w:rPr>
          <w:rFonts w:ascii="Book Antiqua" w:eastAsia="Calibri" w:hAnsi="Book Antiqua" w:cs="Times New Roman"/>
          <w:sz w:val="24"/>
        </w:rPr>
        <w:t xml:space="preserve">has </w:t>
      </w:r>
      <w:r w:rsidR="00407607" w:rsidRPr="00F90CAD">
        <w:rPr>
          <w:rFonts w:ascii="Book Antiqua" w:eastAsia="Calibri" w:hAnsi="Book Antiqua" w:cs="Times New Roman"/>
          <w:sz w:val="24"/>
        </w:rPr>
        <w:t xml:space="preserve">happened in </w:t>
      </w:r>
      <w:r w:rsidR="00407607">
        <w:rPr>
          <w:rFonts w:ascii="Book Antiqua" w:eastAsia="Calibri" w:hAnsi="Book Antiqua" w:cs="Times New Roman"/>
          <w:sz w:val="24"/>
        </w:rPr>
        <w:t>a lay</w:t>
      </w:r>
      <w:r w:rsidR="00407607" w:rsidRPr="00F90CAD">
        <w:rPr>
          <w:rFonts w:ascii="Book Antiqua" w:eastAsia="Calibri" w:hAnsi="Book Antiqua" w:cs="Times New Roman"/>
          <w:sz w:val="24"/>
        </w:rPr>
        <w:t xml:space="preserve"> dialogue</w:t>
      </w:r>
      <w:r w:rsidR="00CB58A8">
        <w:rPr>
          <w:rFonts w:ascii="Book Antiqua" w:eastAsia="Calibri" w:hAnsi="Book Antiqua" w:cs="Times New Roman"/>
          <w:sz w:val="24"/>
        </w:rPr>
        <w:t>, including and especially acts of judgment</w:t>
      </w:r>
      <w:r w:rsidR="00407607" w:rsidRPr="00F90CAD">
        <w:rPr>
          <w:rFonts w:ascii="Book Antiqua" w:eastAsia="Calibri" w:hAnsi="Book Antiqua" w:cs="Times New Roman"/>
          <w:sz w:val="24"/>
        </w:rPr>
        <w:t>.</w:t>
      </w:r>
      <w:r w:rsidR="00407607">
        <w:rPr>
          <w:rFonts w:ascii="Book Antiqua" w:eastAsia="Calibri" w:hAnsi="Book Antiqua" w:cs="Times New Roman"/>
          <w:sz w:val="24"/>
        </w:rPr>
        <w:t xml:space="preserve"> </w:t>
      </w:r>
      <w:r w:rsidR="00490BA2">
        <w:rPr>
          <w:rFonts w:ascii="Book Antiqua" w:eastAsia="Calibri" w:hAnsi="Book Antiqua" w:cs="Times New Roman"/>
          <w:sz w:val="24"/>
        </w:rPr>
        <w:t xml:space="preserve"> (In other words, reality in both communities will change because the </w:t>
      </w:r>
      <w:r w:rsidR="00490BA2">
        <w:rPr>
          <w:rFonts w:ascii="Book Antiqua" w:eastAsia="Calibri" w:hAnsi="Book Antiqua" w:cs="Times New Roman"/>
          <w:sz w:val="24"/>
        </w:rPr>
        <w:lastRenderedPageBreak/>
        <w:t xml:space="preserve">dialogue took place.)  </w:t>
      </w:r>
      <w:r w:rsidR="00407607">
        <w:rPr>
          <w:rFonts w:ascii="Book Antiqua" w:eastAsia="Calibri" w:hAnsi="Book Antiqua" w:cs="Times New Roman"/>
          <w:sz w:val="24"/>
        </w:rPr>
        <w:t xml:space="preserve"> One could also call legitimation “reception by authority.”  </w:t>
      </w:r>
      <w:r w:rsidR="00E42703">
        <w:rPr>
          <w:rFonts w:ascii="Book Antiqua" w:eastAsia="Calibri" w:hAnsi="Book Antiqua" w:cs="Times New Roman"/>
          <w:sz w:val="24"/>
        </w:rPr>
        <w:t>In general, n</w:t>
      </w:r>
      <w:r w:rsidR="00407607">
        <w:rPr>
          <w:rFonts w:ascii="Book Antiqua" w:eastAsia="Calibri" w:hAnsi="Book Antiqua" w:cs="Times New Roman"/>
          <w:sz w:val="24"/>
        </w:rPr>
        <w:t xml:space="preserve">o product of ecumenical dialogue is finished until it is “received,” or incorporated into the mind, heart, and practice of the Christian communities.   </w:t>
      </w:r>
      <w:r w:rsidR="00A63767">
        <w:rPr>
          <w:rFonts w:ascii="Book Antiqua" w:eastAsia="Calibri" w:hAnsi="Book Antiqua" w:cs="Times New Roman"/>
          <w:sz w:val="24"/>
        </w:rPr>
        <w:t>As a type of reception, legitimation</w:t>
      </w:r>
      <w:r w:rsidR="00407607">
        <w:rPr>
          <w:rFonts w:ascii="Book Antiqua" w:eastAsia="Calibri" w:hAnsi="Book Antiqua" w:cs="Times New Roman"/>
          <w:sz w:val="24"/>
        </w:rPr>
        <w:t xml:space="preserve"> is complicated by the tendency of church leaders to forget that theology belongs to the church.  </w:t>
      </w:r>
      <w:r w:rsidR="00A63767">
        <w:rPr>
          <w:rFonts w:ascii="Book Antiqua" w:eastAsia="Calibri" w:hAnsi="Book Antiqua" w:cs="Times New Roman"/>
          <w:sz w:val="24"/>
        </w:rPr>
        <w:t xml:space="preserve"> And, contrary to assumptions based on the hierarchical structure of the Catholic church, this institutional forgetting seems to happen across Christian traditions irrespective of their polity.  Clericalism still occurs in Reformed communities, despite their more representative systems of government.</w:t>
      </w:r>
    </w:p>
    <w:p w14:paraId="2E37D68D" w14:textId="3441E3FC" w:rsidR="00CB58A8" w:rsidRDefault="00485802" w:rsidP="00A63767">
      <w:pPr>
        <w:spacing w:line="360" w:lineRule="auto"/>
        <w:ind w:firstLine="720"/>
        <w:rPr>
          <w:rFonts w:ascii="Book Antiqua" w:eastAsia="Calibri" w:hAnsi="Book Antiqua" w:cs="Times New Roman"/>
          <w:sz w:val="24"/>
        </w:rPr>
      </w:pPr>
      <w:r>
        <w:rPr>
          <w:rFonts w:ascii="Book Antiqua" w:eastAsia="Calibri" w:hAnsi="Book Antiqua" w:cs="Times New Roman"/>
          <w:sz w:val="24"/>
        </w:rPr>
        <w:t>But leaders are not solely to blame.  E</w:t>
      </w:r>
      <w:r w:rsidR="00407607">
        <w:rPr>
          <w:rFonts w:ascii="Book Antiqua" w:eastAsia="Calibri" w:hAnsi="Book Antiqua" w:cs="Times New Roman"/>
          <w:sz w:val="24"/>
        </w:rPr>
        <w:t>ducation</w:t>
      </w:r>
      <w:r w:rsidR="00CB58A8">
        <w:rPr>
          <w:rFonts w:ascii="Book Antiqua" w:eastAsia="Calibri" w:hAnsi="Book Antiqua" w:cs="Times New Roman"/>
          <w:sz w:val="24"/>
        </w:rPr>
        <w:t xml:space="preserve">, method and </w:t>
      </w:r>
      <w:r>
        <w:rPr>
          <w:rFonts w:ascii="Book Antiqua" w:eastAsia="Calibri" w:hAnsi="Book Antiqua" w:cs="Times New Roman"/>
          <w:sz w:val="24"/>
        </w:rPr>
        <w:t>a lack of</w:t>
      </w:r>
      <w:r w:rsidR="00CB58A8">
        <w:rPr>
          <w:rFonts w:ascii="Book Antiqua" w:eastAsia="Calibri" w:hAnsi="Book Antiqua" w:cs="Times New Roman"/>
          <w:sz w:val="24"/>
        </w:rPr>
        <w:t xml:space="preserve"> legitimation have worked together in our traditions to stymie lay dialogue.</w:t>
      </w:r>
      <w:r w:rsidR="00407607">
        <w:rPr>
          <w:rFonts w:ascii="Book Antiqua" w:eastAsia="Calibri" w:hAnsi="Book Antiqua" w:cs="Times New Roman"/>
          <w:sz w:val="24"/>
        </w:rPr>
        <w:t xml:space="preserve">  </w:t>
      </w:r>
      <w:r w:rsidR="00CB58A8">
        <w:rPr>
          <w:rFonts w:ascii="Book Antiqua" w:eastAsia="Calibri" w:hAnsi="Book Antiqua" w:cs="Times New Roman"/>
          <w:sz w:val="24"/>
        </w:rPr>
        <w:t>For example, few</w:t>
      </w:r>
      <w:r w:rsidR="00407607">
        <w:rPr>
          <w:rFonts w:ascii="Book Antiqua" w:eastAsia="Calibri" w:hAnsi="Book Antiqua" w:cs="Times New Roman"/>
          <w:sz w:val="24"/>
        </w:rPr>
        <w:t xml:space="preserve"> pastor</w:t>
      </w:r>
      <w:r w:rsidR="00CB58A8">
        <w:rPr>
          <w:rFonts w:ascii="Book Antiqua" w:eastAsia="Calibri" w:hAnsi="Book Antiqua" w:cs="Times New Roman"/>
          <w:sz w:val="24"/>
        </w:rPr>
        <w:t>s</w:t>
      </w:r>
      <w:r w:rsidR="00407607">
        <w:rPr>
          <w:rFonts w:ascii="Book Antiqua" w:eastAsia="Calibri" w:hAnsi="Book Antiqua" w:cs="Times New Roman"/>
          <w:sz w:val="24"/>
        </w:rPr>
        <w:t>, priest</w:t>
      </w:r>
      <w:r w:rsidR="00CB58A8">
        <w:rPr>
          <w:rFonts w:ascii="Book Antiqua" w:eastAsia="Calibri" w:hAnsi="Book Antiqua" w:cs="Times New Roman"/>
          <w:sz w:val="24"/>
        </w:rPr>
        <w:t>s</w:t>
      </w:r>
      <w:r w:rsidR="00407607">
        <w:rPr>
          <w:rFonts w:ascii="Book Antiqua" w:eastAsia="Calibri" w:hAnsi="Book Antiqua" w:cs="Times New Roman"/>
          <w:sz w:val="24"/>
        </w:rPr>
        <w:t xml:space="preserve">, </w:t>
      </w:r>
      <w:r w:rsidR="00CB58A8">
        <w:rPr>
          <w:rFonts w:ascii="Book Antiqua" w:eastAsia="Calibri" w:hAnsi="Book Antiqua" w:cs="Times New Roman"/>
          <w:sz w:val="24"/>
        </w:rPr>
        <w:t>or bishops</w:t>
      </w:r>
      <w:r w:rsidR="00407607">
        <w:rPr>
          <w:rFonts w:ascii="Book Antiqua" w:eastAsia="Calibri" w:hAnsi="Book Antiqua" w:cs="Times New Roman"/>
          <w:sz w:val="24"/>
        </w:rPr>
        <w:t xml:space="preserve"> </w:t>
      </w:r>
      <w:r w:rsidR="00CB58A8">
        <w:rPr>
          <w:rFonts w:ascii="Book Antiqua" w:eastAsia="Calibri" w:hAnsi="Book Antiqua" w:cs="Times New Roman"/>
          <w:sz w:val="24"/>
        </w:rPr>
        <w:t xml:space="preserve">would </w:t>
      </w:r>
      <w:r w:rsidR="00407607">
        <w:rPr>
          <w:rFonts w:ascii="Book Antiqua" w:eastAsia="Calibri" w:hAnsi="Book Antiqua" w:cs="Times New Roman"/>
          <w:sz w:val="24"/>
        </w:rPr>
        <w:t>be interest</w:t>
      </w:r>
      <w:r w:rsidR="00CB58A8">
        <w:rPr>
          <w:rFonts w:ascii="Book Antiqua" w:eastAsia="Calibri" w:hAnsi="Book Antiqua" w:cs="Times New Roman"/>
          <w:sz w:val="24"/>
        </w:rPr>
        <w:t>ed</w:t>
      </w:r>
      <w:r w:rsidR="00407607">
        <w:rPr>
          <w:rFonts w:ascii="Book Antiqua" w:eastAsia="Calibri" w:hAnsi="Book Antiqua" w:cs="Times New Roman"/>
          <w:sz w:val="24"/>
        </w:rPr>
        <w:t xml:space="preserve"> in resting institutional consequences on an encounter between lay people that </w:t>
      </w:r>
      <w:r w:rsidR="00CB58A8">
        <w:rPr>
          <w:rFonts w:ascii="Book Antiqua" w:eastAsia="Calibri" w:hAnsi="Book Antiqua" w:cs="Times New Roman"/>
          <w:sz w:val="24"/>
        </w:rPr>
        <w:t>lacked</w:t>
      </w:r>
      <w:r w:rsidR="00407607">
        <w:rPr>
          <w:rFonts w:ascii="Book Antiqua" w:eastAsia="Calibri" w:hAnsi="Book Antiqua" w:cs="Times New Roman"/>
          <w:sz w:val="24"/>
        </w:rPr>
        <w:t xml:space="preserve"> doctrinal or dialogic education</w:t>
      </w:r>
      <w:r w:rsidR="00CB58A8">
        <w:rPr>
          <w:rFonts w:ascii="Book Antiqua" w:eastAsia="Calibri" w:hAnsi="Book Antiqua" w:cs="Times New Roman"/>
          <w:sz w:val="24"/>
        </w:rPr>
        <w:t>.</w:t>
      </w:r>
      <w:r w:rsidR="00407607">
        <w:rPr>
          <w:rFonts w:ascii="Book Antiqua" w:eastAsia="Calibri" w:hAnsi="Book Antiqua" w:cs="Times New Roman"/>
          <w:sz w:val="24"/>
        </w:rPr>
        <w:t xml:space="preserve"> </w:t>
      </w:r>
      <w:r w:rsidR="00CB58A8">
        <w:rPr>
          <w:rFonts w:ascii="Book Antiqua" w:eastAsia="Calibri" w:hAnsi="Book Antiqua" w:cs="Times New Roman"/>
          <w:sz w:val="24"/>
        </w:rPr>
        <w:t xml:space="preserve">  The greater the educational process surrounding dialogue, the more likely the dialogue will be legitimated.  Similarly, if</w:t>
      </w:r>
      <w:r w:rsidR="009F6E0F" w:rsidRPr="009F6E0F">
        <w:rPr>
          <w:rFonts w:ascii="Book Antiqua" w:eastAsia="Calibri" w:hAnsi="Book Antiqua" w:cs="Times New Roman"/>
          <w:sz w:val="24"/>
        </w:rPr>
        <w:t xml:space="preserve"> church authorities know that lay dialogue has operated according to</w:t>
      </w:r>
      <w:r w:rsidR="00CB58A8">
        <w:rPr>
          <w:rFonts w:ascii="Book Antiqua" w:eastAsia="Calibri" w:hAnsi="Book Antiqua" w:cs="Times New Roman"/>
          <w:sz w:val="24"/>
        </w:rPr>
        <w:t xml:space="preserve"> a sound dialogic method with deep roots in Christian convictions, they might be more </w:t>
      </w:r>
      <w:r>
        <w:rPr>
          <w:rFonts w:ascii="Book Antiqua" w:eastAsia="Calibri" w:hAnsi="Book Antiqua" w:cs="Times New Roman"/>
          <w:sz w:val="24"/>
        </w:rPr>
        <w:t>willing</w:t>
      </w:r>
      <w:r w:rsidR="00CB58A8">
        <w:rPr>
          <w:rFonts w:ascii="Book Antiqua" w:eastAsia="Calibri" w:hAnsi="Book Antiqua" w:cs="Times New Roman"/>
          <w:sz w:val="24"/>
        </w:rPr>
        <w:t xml:space="preserve"> to receive the results of that dialogue in the fullest sense.  </w:t>
      </w:r>
      <w:r w:rsidR="00D00CF6">
        <w:rPr>
          <w:rFonts w:ascii="Book Antiqua" w:eastAsia="Calibri" w:hAnsi="Book Antiqua" w:cs="Times New Roman"/>
          <w:sz w:val="24"/>
        </w:rPr>
        <w:t xml:space="preserve"> </w:t>
      </w:r>
      <w:r w:rsidR="00A63767">
        <w:rPr>
          <w:rFonts w:ascii="Book Antiqua" w:eastAsia="Calibri" w:hAnsi="Book Antiqua" w:cs="Times New Roman"/>
          <w:sz w:val="24"/>
        </w:rPr>
        <w:t xml:space="preserve">Without the three factors of education, method and legitimation working together in a virtuous cycle, lay dialogue might be an interesting experience in theological formation but nothing more.  And this is frustrating to </w:t>
      </w:r>
      <w:r w:rsidR="00A63767">
        <w:rPr>
          <w:rFonts w:ascii="Book Antiqua" w:eastAsia="Calibri" w:hAnsi="Book Antiqua" w:cs="Times New Roman"/>
          <w:sz w:val="24"/>
        </w:rPr>
        <w:t>lay people who hav</w:t>
      </w:r>
      <w:r w:rsidR="008748C0">
        <w:rPr>
          <w:rFonts w:ascii="Book Antiqua" w:eastAsia="Calibri" w:hAnsi="Book Antiqua" w:cs="Times New Roman"/>
          <w:sz w:val="24"/>
        </w:rPr>
        <w:t>e had their ecumenical hopes raised by encounter with Christian neighbors.</w:t>
      </w:r>
    </w:p>
    <w:p w14:paraId="4373567E" w14:textId="77777777" w:rsidR="00F90CAD" w:rsidRPr="00D933C8" w:rsidRDefault="00F90CAD" w:rsidP="00F90CAD">
      <w:pPr>
        <w:pStyle w:val="Heading2"/>
        <w:rPr>
          <w:rFonts w:ascii="Book Antiqua" w:eastAsia="Calibri" w:hAnsi="Book Antiqua"/>
          <w:color w:val="auto"/>
          <w:sz w:val="28"/>
        </w:rPr>
      </w:pPr>
      <w:bookmarkStart w:id="12" w:name="_Toc523909730"/>
      <w:r w:rsidRPr="00D933C8">
        <w:rPr>
          <w:rFonts w:ascii="Book Antiqua" w:eastAsia="Calibri" w:hAnsi="Book Antiqua"/>
          <w:color w:val="auto"/>
          <w:sz w:val="28"/>
        </w:rPr>
        <w:t>Conclusion</w:t>
      </w:r>
      <w:bookmarkEnd w:id="12"/>
    </w:p>
    <w:p w14:paraId="6311481C" w14:textId="2908446C" w:rsidR="0034000F" w:rsidRDefault="0034000F" w:rsidP="00F90CAD">
      <w:pPr>
        <w:pStyle w:val="Heading2"/>
        <w:rPr>
          <w:rFonts w:ascii="Book Antiqua" w:eastAsia="Calibri" w:hAnsi="Book Antiqua" w:cs="Times New Roman"/>
          <w:sz w:val="24"/>
        </w:rPr>
      </w:pPr>
    </w:p>
    <w:p w14:paraId="11A9FA3C" w14:textId="5EFF6EEF" w:rsidR="00FD0196" w:rsidRDefault="00D00CF6" w:rsidP="00D933C8">
      <w:pPr>
        <w:spacing w:line="360" w:lineRule="auto"/>
        <w:ind w:firstLine="720"/>
        <w:rPr>
          <w:rFonts w:ascii="Book Antiqua" w:eastAsia="Calibri" w:hAnsi="Book Antiqua" w:cs="Times New Roman"/>
          <w:sz w:val="24"/>
        </w:rPr>
      </w:pPr>
      <w:r>
        <w:rPr>
          <w:rFonts w:ascii="Book Antiqua" w:eastAsia="Calibri" w:hAnsi="Book Antiqua" w:cs="Times New Roman"/>
          <w:sz w:val="24"/>
        </w:rPr>
        <w:t xml:space="preserve">This book aims to create and support local ecumenical dialogue.  </w:t>
      </w:r>
      <w:r w:rsidR="00485802">
        <w:rPr>
          <w:rFonts w:ascii="Book Antiqua" w:eastAsia="Calibri" w:hAnsi="Book Antiqua" w:cs="Times New Roman"/>
          <w:sz w:val="24"/>
        </w:rPr>
        <w:t xml:space="preserve">It argues that </w:t>
      </w:r>
      <w:r w:rsidR="00485802">
        <w:rPr>
          <w:rFonts w:ascii="Book Antiqua" w:eastAsia="Calibri" w:hAnsi="Book Antiqua" w:cs="Times New Roman"/>
          <w:sz w:val="24"/>
        </w:rPr>
        <w:t xml:space="preserve">Catholic and Reformed </w:t>
      </w:r>
      <w:r w:rsidR="00485802">
        <w:rPr>
          <w:rFonts w:ascii="Book Antiqua" w:eastAsia="Calibri" w:hAnsi="Book Antiqua" w:cs="Times New Roman"/>
          <w:sz w:val="24"/>
        </w:rPr>
        <w:t xml:space="preserve">believers are anointed to share the prophetic office of Christ, which includes theological judgment.   </w:t>
      </w:r>
      <w:r>
        <w:rPr>
          <w:rFonts w:ascii="Book Antiqua" w:eastAsia="Calibri" w:hAnsi="Book Antiqua" w:cs="Times New Roman"/>
          <w:sz w:val="24"/>
        </w:rPr>
        <w:t xml:space="preserve">It imagines what </w:t>
      </w:r>
      <w:r w:rsidR="00485802">
        <w:rPr>
          <w:rFonts w:ascii="Book Antiqua" w:eastAsia="Calibri" w:hAnsi="Book Antiqua" w:cs="Times New Roman"/>
          <w:sz w:val="24"/>
        </w:rPr>
        <w:t>they could achieve if they</w:t>
      </w:r>
      <w:r w:rsidR="00D933C8">
        <w:rPr>
          <w:rFonts w:ascii="Book Antiqua" w:eastAsia="Calibri" w:hAnsi="Book Antiqua" w:cs="Times New Roman"/>
          <w:sz w:val="24"/>
        </w:rPr>
        <w:t xml:space="preserve"> met together</w:t>
      </w:r>
      <w:r w:rsidR="00F90CAD" w:rsidRPr="00F90CAD">
        <w:rPr>
          <w:rFonts w:ascii="Book Antiqua" w:eastAsia="Calibri" w:hAnsi="Book Antiqua" w:cs="Times New Roman"/>
          <w:sz w:val="24"/>
        </w:rPr>
        <w:t xml:space="preserve"> as stewards of the teaching traditions of their churches</w:t>
      </w:r>
      <w:r w:rsidR="00D933C8">
        <w:rPr>
          <w:rFonts w:ascii="Book Antiqua" w:eastAsia="Calibri" w:hAnsi="Book Antiqua" w:cs="Times New Roman"/>
          <w:sz w:val="24"/>
        </w:rPr>
        <w:t xml:space="preserve">.  Above all, I write this book out of a desire to invite lay people into the joy of encounter with the Christian “other,” </w:t>
      </w:r>
      <w:r w:rsidR="00485802">
        <w:rPr>
          <w:rFonts w:ascii="Book Antiqua" w:eastAsia="Calibri" w:hAnsi="Book Antiqua" w:cs="Times New Roman"/>
          <w:sz w:val="24"/>
        </w:rPr>
        <w:t>with whom we desire to be one</w:t>
      </w:r>
      <w:r w:rsidR="00D933C8">
        <w:rPr>
          <w:rFonts w:ascii="Book Antiqua" w:eastAsia="Calibri" w:hAnsi="Book Antiqua" w:cs="Times New Roman"/>
          <w:sz w:val="24"/>
        </w:rPr>
        <w:t xml:space="preserve">.  </w:t>
      </w:r>
      <w:r w:rsidR="008748C0">
        <w:rPr>
          <w:rFonts w:ascii="Book Antiqua" w:eastAsia="Calibri" w:hAnsi="Book Antiqua" w:cs="Times New Roman"/>
          <w:sz w:val="24"/>
        </w:rPr>
        <w:t>As the Psalmist wrote, “</w:t>
      </w:r>
      <w:r w:rsidR="008748C0" w:rsidRPr="00D933C8">
        <w:rPr>
          <w:rFonts w:ascii="Book Antiqua" w:eastAsia="Calibri" w:hAnsi="Book Antiqua" w:cs="Times New Roman"/>
          <w:sz w:val="24"/>
        </w:rPr>
        <w:t xml:space="preserve">How very good and </w:t>
      </w:r>
      <w:r w:rsidR="008748C0" w:rsidRPr="00D933C8">
        <w:rPr>
          <w:rFonts w:ascii="Book Antiqua" w:eastAsia="Calibri" w:hAnsi="Book Antiqua" w:cs="Times New Roman"/>
          <w:sz w:val="24"/>
        </w:rPr>
        <w:lastRenderedPageBreak/>
        <w:t>pleasant it is</w:t>
      </w:r>
      <w:r w:rsidR="008748C0">
        <w:rPr>
          <w:rFonts w:ascii="Book Antiqua" w:eastAsia="Calibri" w:hAnsi="Book Antiqua" w:cs="Times New Roman"/>
          <w:sz w:val="24"/>
        </w:rPr>
        <w:t xml:space="preserve"> </w:t>
      </w:r>
      <w:r w:rsidR="008748C0" w:rsidRPr="00D933C8">
        <w:rPr>
          <w:rFonts w:ascii="Book Antiqua" w:eastAsia="Calibri" w:hAnsi="Book Antiqua" w:cs="Times New Roman"/>
          <w:sz w:val="24"/>
        </w:rPr>
        <w:t>when kindred live together in unity!</w:t>
      </w:r>
      <w:r w:rsidR="008748C0">
        <w:rPr>
          <w:rFonts w:ascii="Book Antiqua" w:eastAsia="Calibri" w:hAnsi="Book Antiqua" w:cs="Times New Roman"/>
          <w:sz w:val="24"/>
        </w:rPr>
        <w:t xml:space="preserve"> </w:t>
      </w:r>
      <w:r w:rsidR="008748C0" w:rsidRPr="00D933C8">
        <w:rPr>
          <w:rFonts w:ascii="Book Antiqua" w:eastAsia="Calibri" w:hAnsi="Book Antiqua" w:cs="Times New Roman"/>
          <w:sz w:val="24"/>
        </w:rPr>
        <w:t>It is like the precious oil on the head,</w:t>
      </w:r>
      <w:r w:rsidR="008748C0">
        <w:rPr>
          <w:rFonts w:ascii="Book Antiqua" w:eastAsia="Calibri" w:hAnsi="Book Antiqua" w:cs="Times New Roman"/>
          <w:sz w:val="24"/>
        </w:rPr>
        <w:t xml:space="preserve"> </w:t>
      </w:r>
      <w:r w:rsidR="008748C0" w:rsidRPr="00D933C8">
        <w:rPr>
          <w:rFonts w:ascii="Book Antiqua" w:eastAsia="Calibri" w:hAnsi="Book Antiqua" w:cs="Times New Roman"/>
          <w:sz w:val="24"/>
        </w:rPr>
        <w:t>running down upon the beard,</w:t>
      </w:r>
      <w:r w:rsidR="008748C0">
        <w:rPr>
          <w:rFonts w:ascii="Book Antiqua" w:eastAsia="Calibri" w:hAnsi="Book Antiqua" w:cs="Times New Roman"/>
          <w:sz w:val="24"/>
        </w:rPr>
        <w:t xml:space="preserve"> </w:t>
      </w:r>
      <w:r w:rsidR="008748C0" w:rsidRPr="00D933C8">
        <w:rPr>
          <w:rFonts w:ascii="Book Antiqua" w:eastAsia="Calibri" w:hAnsi="Book Antiqua" w:cs="Times New Roman"/>
          <w:sz w:val="24"/>
        </w:rPr>
        <w:t>on the beard of Aaron,</w:t>
      </w:r>
      <w:r w:rsidR="008748C0">
        <w:rPr>
          <w:rFonts w:ascii="Book Antiqua" w:eastAsia="Calibri" w:hAnsi="Book Antiqua" w:cs="Times New Roman"/>
          <w:sz w:val="24"/>
        </w:rPr>
        <w:t xml:space="preserve"> </w:t>
      </w:r>
      <w:r w:rsidR="008748C0" w:rsidRPr="00D933C8">
        <w:rPr>
          <w:rFonts w:ascii="Book Antiqua" w:eastAsia="Calibri" w:hAnsi="Book Antiqua" w:cs="Times New Roman"/>
          <w:sz w:val="24"/>
        </w:rPr>
        <w:t>running down over the collar of his robes</w:t>
      </w:r>
      <w:r w:rsidR="008748C0">
        <w:rPr>
          <w:rFonts w:ascii="Book Antiqua" w:eastAsia="Calibri" w:hAnsi="Book Antiqua" w:cs="Times New Roman"/>
          <w:sz w:val="24"/>
        </w:rPr>
        <w:t xml:space="preserve">” (Psalm 133.1,2 NRSV).  </w:t>
      </w:r>
      <w:r w:rsidR="008748C0">
        <w:rPr>
          <w:rFonts w:ascii="Book Antiqua" w:eastAsia="Calibri" w:hAnsi="Book Antiqua" w:cs="Times New Roman"/>
          <w:sz w:val="24"/>
        </w:rPr>
        <w:t>Surely church people thinking and learning together is an expression of their anointing in Christ, of “priestly” joy that is meant to be shared.</w:t>
      </w:r>
    </w:p>
    <w:p w14:paraId="084FA8D6" w14:textId="77777777" w:rsidR="00FD0196" w:rsidRDefault="00FD0196">
      <w:pPr>
        <w:rPr>
          <w:rFonts w:ascii="Book Antiqua" w:eastAsia="Calibri" w:hAnsi="Book Antiqua" w:cs="Times New Roman"/>
          <w:sz w:val="24"/>
        </w:rPr>
      </w:pPr>
      <w:r>
        <w:rPr>
          <w:rFonts w:ascii="Book Antiqua" w:eastAsia="Calibri" w:hAnsi="Book Antiqua" w:cs="Times New Roman"/>
          <w:sz w:val="24"/>
        </w:rPr>
        <w:br w:type="page"/>
      </w:r>
    </w:p>
    <w:p w14:paraId="671A7DB1" w14:textId="27D6E8DB" w:rsidR="00FD0196" w:rsidRDefault="00FD0196" w:rsidP="00FD0196">
      <w:pPr>
        <w:widowControl w:val="0"/>
        <w:autoSpaceDE w:val="0"/>
        <w:autoSpaceDN w:val="0"/>
        <w:adjustRightInd w:val="0"/>
        <w:spacing w:line="360" w:lineRule="auto"/>
        <w:ind w:left="480" w:hanging="480"/>
        <w:jc w:val="center"/>
        <w:rPr>
          <w:rFonts w:ascii="Book Antiqua" w:eastAsia="Calibri" w:hAnsi="Book Antiqua" w:cs="Times New Roman"/>
          <w:sz w:val="24"/>
        </w:rPr>
      </w:pPr>
      <w:r>
        <w:rPr>
          <w:rFonts w:ascii="Book Antiqua" w:eastAsia="Calibri" w:hAnsi="Book Antiqua" w:cs="Times New Roman"/>
          <w:sz w:val="24"/>
        </w:rPr>
        <w:lastRenderedPageBreak/>
        <w:t>Bibliography</w:t>
      </w:r>
    </w:p>
    <w:p w14:paraId="21EBD133" w14:textId="4A44144B" w:rsidR="00BA50A7" w:rsidRPr="00BA50A7" w:rsidRDefault="00FD0196" w:rsidP="00BA50A7">
      <w:pPr>
        <w:widowControl w:val="0"/>
        <w:autoSpaceDE w:val="0"/>
        <w:autoSpaceDN w:val="0"/>
        <w:adjustRightInd w:val="0"/>
        <w:spacing w:line="360" w:lineRule="auto"/>
        <w:ind w:left="480" w:hanging="480"/>
        <w:rPr>
          <w:rFonts w:ascii="Book Antiqua" w:hAnsi="Book Antiqua" w:cs="Times New Roman"/>
          <w:noProof/>
          <w:sz w:val="24"/>
          <w:szCs w:val="24"/>
        </w:rPr>
      </w:pPr>
      <w:r>
        <w:rPr>
          <w:rFonts w:ascii="Book Antiqua" w:eastAsia="Calibri" w:hAnsi="Book Antiqua" w:cs="Times New Roman"/>
          <w:sz w:val="24"/>
        </w:rPr>
        <w:fldChar w:fldCharType="begin" w:fldLock="1"/>
      </w:r>
      <w:r>
        <w:rPr>
          <w:rFonts w:ascii="Book Antiqua" w:eastAsia="Calibri" w:hAnsi="Book Antiqua" w:cs="Times New Roman"/>
          <w:sz w:val="24"/>
        </w:rPr>
        <w:instrText xml:space="preserve">ADDIN Mendeley Bibliography CSL_BIBLIOGRAPHY </w:instrText>
      </w:r>
      <w:r>
        <w:rPr>
          <w:rFonts w:ascii="Book Antiqua" w:eastAsia="Calibri" w:hAnsi="Book Antiqua" w:cs="Times New Roman"/>
          <w:sz w:val="24"/>
        </w:rPr>
        <w:fldChar w:fldCharType="separate"/>
      </w:r>
      <w:r w:rsidR="00BA50A7" w:rsidRPr="00BA50A7">
        <w:rPr>
          <w:rFonts w:ascii="Book Antiqua" w:hAnsi="Book Antiqua" w:cs="Times New Roman"/>
          <w:noProof/>
          <w:sz w:val="24"/>
          <w:szCs w:val="24"/>
        </w:rPr>
        <w:t xml:space="preserve">Calvin, John. </w:t>
      </w:r>
      <w:r w:rsidR="00BA50A7" w:rsidRPr="00BA50A7">
        <w:rPr>
          <w:rFonts w:ascii="Book Antiqua" w:hAnsi="Book Antiqua" w:cs="Times New Roman"/>
          <w:i/>
          <w:iCs/>
          <w:noProof/>
          <w:sz w:val="24"/>
          <w:szCs w:val="24"/>
        </w:rPr>
        <w:t>Institutes of the Christian Religion</w:t>
      </w:r>
      <w:r w:rsidR="00BA50A7" w:rsidRPr="00BA50A7">
        <w:rPr>
          <w:rFonts w:ascii="Book Antiqua" w:hAnsi="Book Antiqua" w:cs="Times New Roman"/>
          <w:noProof/>
          <w:sz w:val="24"/>
          <w:szCs w:val="24"/>
        </w:rPr>
        <w:t>. Library of. Philadelphia, PA: Westminster Press, 1960.</w:t>
      </w:r>
    </w:p>
    <w:p w14:paraId="6EC54CCB"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Carnley, Peter. “Has ‘Receptive Ecumenism’ Got a Future?” In </w:t>
      </w:r>
      <w:r w:rsidRPr="00BA50A7">
        <w:rPr>
          <w:rFonts w:ascii="Book Antiqua" w:hAnsi="Book Antiqua" w:cs="Times New Roman"/>
          <w:i/>
          <w:iCs/>
          <w:noProof/>
          <w:sz w:val="24"/>
          <w:szCs w:val="24"/>
        </w:rPr>
        <w:t>Leaning into the Spirit: The Fourth International Conference on Receptive Ecumenism</w:t>
      </w:r>
      <w:r w:rsidRPr="00BA50A7">
        <w:rPr>
          <w:rFonts w:ascii="Book Antiqua" w:hAnsi="Book Antiqua" w:cs="Times New Roman"/>
          <w:noProof/>
          <w:sz w:val="24"/>
          <w:szCs w:val="24"/>
        </w:rPr>
        <w:t>. Canberra, Australia: Australian Centre for Christianity and Culture, 2017.</w:t>
      </w:r>
    </w:p>
    <w:p w14:paraId="221FFB96"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“CHURCH FATHERS: Commonitorium (Vincent of Lerins).” Accessed August 15, 2018. http://www.newadvent.org/fathers/3506.htm.</w:t>
      </w:r>
    </w:p>
    <w:p w14:paraId="40037C70"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Churches Together in England. </w:t>
      </w:r>
      <w:r w:rsidRPr="00BA50A7">
        <w:rPr>
          <w:rFonts w:ascii="Book Antiqua" w:hAnsi="Book Antiqua" w:cs="Times New Roman"/>
          <w:i/>
          <w:iCs/>
          <w:noProof/>
          <w:sz w:val="24"/>
          <w:szCs w:val="24"/>
        </w:rPr>
        <w:t>Called to Be One</w:t>
      </w:r>
      <w:r w:rsidRPr="00BA50A7">
        <w:rPr>
          <w:rFonts w:ascii="Book Antiqua" w:hAnsi="Book Antiqua" w:cs="Times New Roman"/>
          <w:noProof/>
          <w:sz w:val="24"/>
          <w:szCs w:val="24"/>
        </w:rPr>
        <w:t>. London, n.d.</w:t>
      </w:r>
    </w:p>
    <w:p w14:paraId="60C9B172"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Evans, G. R. </w:t>
      </w:r>
      <w:r w:rsidRPr="00BA50A7">
        <w:rPr>
          <w:rFonts w:ascii="Book Antiqua" w:hAnsi="Book Antiqua" w:cs="Times New Roman"/>
          <w:i/>
          <w:iCs/>
          <w:noProof/>
          <w:sz w:val="24"/>
          <w:szCs w:val="24"/>
        </w:rPr>
        <w:t>Method in Ecumenical Theology: The Lessons So Far</w:t>
      </w:r>
      <w:r w:rsidRPr="00BA50A7">
        <w:rPr>
          <w:rFonts w:ascii="Book Antiqua" w:hAnsi="Book Antiqua" w:cs="Times New Roman"/>
          <w:noProof/>
          <w:sz w:val="24"/>
          <w:szCs w:val="24"/>
        </w:rPr>
        <w:t>. Cambridge: Cambridge University Press, 1996.</w:t>
      </w:r>
    </w:p>
    <w:p w14:paraId="34A95DAC"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Fahey, Michael A. </w:t>
      </w:r>
      <w:r w:rsidRPr="00BA50A7">
        <w:rPr>
          <w:rFonts w:ascii="Book Antiqua" w:hAnsi="Book Antiqua" w:cs="Times New Roman"/>
          <w:i/>
          <w:iCs/>
          <w:noProof/>
          <w:sz w:val="24"/>
          <w:szCs w:val="24"/>
        </w:rPr>
        <w:t>Catholic Perspectives on Baptism, Eucharist and Ministry</w:t>
      </w:r>
      <w:r w:rsidRPr="00BA50A7">
        <w:rPr>
          <w:rFonts w:ascii="Book Antiqua" w:hAnsi="Book Antiqua" w:cs="Times New Roman"/>
          <w:noProof/>
          <w:sz w:val="24"/>
          <w:szCs w:val="24"/>
        </w:rPr>
        <w:t>. Edited by Michael A. Fahey. New York: University Press of America, 1986.</w:t>
      </w:r>
    </w:p>
    <w:p w14:paraId="607B619B"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Flannery, Austin. “Apostolicam Actuositatem.” In </w:t>
      </w:r>
      <w:r w:rsidRPr="00BA50A7">
        <w:rPr>
          <w:rFonts w:ascii="Book Antiqua" w:hAnsi="Book Antiqua" w:cs="Times New Roman"/>
          <w:i/>
          <w:iCs/>
          <w:noProof/>
          <w:sz w:val="24"/>
          <w:szCs w:val="24"/>
        </w:rPr>
        <w:t>The Basic Sixteen Documents: Vatican Council II (A Completely Revised Translation in Inclusive Language)</w:t>
      </w:r>
      <w:r w:rsidRPr="00BA50A7">
        <w:rPr>
          <w:rFonts w:ascii="Book Antiqua" w:hAnsi="Book Antiqua" w:cs="Times New Roman"/>
          <w:noProof/>
          <w:sz w:val="24"/>
          <w:szCs w:val="24"/>
        </w:rPr>
        <w:t>, 403–42. Northport, New York: Costello Publishing Company, 1996.</w:t>
      </w:r>
    </w:p>
    <w:p w14:paraId="785C5424"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 “Lumen Gentium.” In </w:t>
      </w:r>
      <w:r w:rsidRPr="00BA50A7">
        <w:rPr>
          <w:rFonts w:ascii="Book Antiqua" w:hAnsi="Book Antiqua" w:cs="Times New Roman"/>
          <w:i/>
          <w:iCs/>
          <w:noProof/>
          <w:sz w:val="24"/>
          <w:szCs w:val="24"/>
        </w:rPr>
        <w:t>The Basic Sixteen Documents: Vatican Council II (A Completely Revised Translation in Inclusive Language)</w:t>
      </w:r>
      <w:r w:rsidRPr="00BA50A7">
        <w:rPr>
          <w:rFonts w:ascii="Book Antiqua" w:hAnsi="Book Antiqua" w:cs="Times New Roman"/>
          <w:noProof/>
          <w:sz w:val="24"/>
          <w:szCs w:val="24"/>
        </w:rPr>
        <w:t>, 1–96. Northport, New York: Coste, 1996.</w:t>
      </w:r>
    </w:p>
    <w:p w14:paraId="0914EB4F"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 “Unitatis Redintegratio.” In </w:t>
      </w:r>
      <w:r w:rsidRPr="00BA50A7">
        <w:rPr>
          <w:rFonts w:ascii="Book Antiqua" w:hAnsi="Book Antiqua" w:cs="Times New Roman"/>
          <w:i/>
          <w:iCs/>
          <w:noProof/>
          <w:sz w:val="24"/>
          <w:szCs w:val="24"/>
        </w:rPr>
        <w:t>The Basic Sixteen Documents: Vatican Council II (A Completely Revised Translation in Inclusive Language)</w:t>
      </w:r>
      <w:r w:rsidRPr="00BA50A7">
        <w:rPr>
          <w:rFonts w:ascii="Book Antiqua" w:hAnsi="Book Antiqua" w:cs="Times New Roman"/>
          <w:noProof/>
          <w:sz w:val="24"/>
          <w:szCs w:val="24"/>
        </w:rPr>
        <w:t>, 499–523. Northport, New York: Costello Publishing Company, 1996.</w:t>
      </w:r>
    </w:p>
    <w:p w14:paraId="0293DD7D"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Greenspun, William B., and William A. Norgren. </w:t>
      </w:r>
      <w:r w:rsidRPr="00BA50A7">
        <w:rPr>
          <w:rFonts w:ascii="Book Antiqua" w:hAnsi="Book Antiqua" w:cs="Times New Roman"/>
          <w:i/>
          <w:iCs/>
          <w:noProof/>
          <w:sz w:val="24"/>
          <w:szCs w:val="24"/>
        </w:rPr>
        <w:t>Living Room Dialogues: A Guide for Lay Conversation Catholic, Orthodox, Protestant</w:t>
      </w:r>
      <w:r w:rsidRPr="00BA50A7">
        <w:rPr>
          <w:rFonts w:ascii="Book Antiqua" w:hAnsi="Book Antiqua" w:cs="Times New Roman"/>
          <w:noProof/>
          <w:sz w:val="24"/>
          <w:szCs w:val="24"/>
        </w:rPr>
        <w:t>. Glen Rock, New Jersey; New York, New York: National Council of Churches of Christ in the U.S.A.; Paulist Press, 1965.</w:t>
      </w:r>
    </w:p>
    <w:p w14:paraId="7DA4C931"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lastRenderedPageBreak/>
        <w:t xml:space="preserve">———. </w:t>
      </w:r>
      <w:r w:rsidRPr="00BA50A7">
        <w:rPr>
          <w:rFonts w:ascii="Book Antiqua" w:hAnsi="Book Antiqua" w:cs="Times New Roman"/>
          <w:i/>
          <w:iCs/>
          <w:noProof/>
          <w:sz w:val="24"/>
          <w:szCs w:val="24"/>
        </w:rPr>
        <w:t>Living Room Dialogues: A Guide for Lay Discussion Catholic-Orthodox-Protestant</w:t>
      </w:r>
      <w:r w:rsidRPr="00BA50A7">
        <w:rPr>
          <w:rFonts w:ascii="Book Antiqua" w:hAnsi="Book Antiqua" w:cs="Times New Roman"/>
          <w:noProof/>
          <w:sz w:val="24"/>
          <w:szCs w:val="24"/>
        </w:rPr>
        <w:t>. Glen Rock, New Jersey; New York, New York: National Council of Churches of Christ in the U.S.A.; Paulist Press, 1967.</w:t>
      </w:r>
    </w:p>
    <w:p w14:paraId="35C75344"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Kaspar, Walter Cardinal. “The Ecumenical Movement in the 21st Century: A Contribution from the PCPCU,” 2005. http://www.oikoumene.org/en/resources/documents/wcc-programmes/church-and-ecumenical-relations/non-member-churches-ecumenical-organizations/joint-working-group/18-11-05-the-ecumenical-movement-in-the-21st-century.html.</w:t>
      </w:r>
    </w:p>
    <w:p w14:paraId="3AD228DA"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Lonergan, Bernard. </w:t>
      </w:r>
      <w:r w:rsidRPr="00BA50A7">
        <w:rPr>
          <w:rFonts w:ascii="Book Antiqua" w:hAnsi="Book Antiqua" w:cs="Times New Roman"/>
          <w:i/>
          <w:iCs/>
          <w:noProof/>
          <w:sz w:val="24"/>
          <w:szCs w:val="24"/>
        </w:rPr>
        <w:t>Method in Theology</w:t>
      </w:r>
      <w:r w:rsidRPr="00BA50A7">
        <w:rPr>
          <w:rFonts w:ascii="Book Antiqua" w:hAnsi="Book Antiqua" w:cs="Times New Roman"/>
          <w:noProof/>
          <w:sz w:val="24"/>
          <w:szCs w:val="24"/>
        </w:rPr>
        <w:t>. Toronto: University of Toronto Press, 1971.</w:t>
      </w:r>
    </w:p>
    <w:p w14:paraId="2B76022C"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Murray, J.C. “Ecumenism: The next Steps.” </w:t>
      </w:r>
      <w:r w:rsidRPr="00BA50A7">
        <w:rPr>
          <w:rFonts w:ascii="Book Antiqua" w:hAnsi="Book Antiqua" w:cs="Times New Roman"/>
          <w:i/>
          <w:iCs/>
          <w:noProof/>
          <w:sz w:val="24"/>
          <w:szCs w:val="24"/>
        </w:rPr>
        <w:t>One in Christ</w:t>
      </w:r>
      <w:r w:rsidRPr="00BA50A7">
        <w:rPr>
          <w:rFonts w:ascii="Book Antiqua" w:hAnsi="Book Antiqua" w:cs="Times New Roman"/>
          <w:noProof/>
          <w:sz w:val="24"/>
          <w:szCs w:val="24"/>
        </w:rPr>
        <w:t xml:space="preserve"> 25 (1989): 163–68.</w:t>
      </w:r>
    </w:p>
    <w:p w14:paraId="693E16B1"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Murray, Paul D. “Introducing Receptive Ecumenism.” </w:t>
      </w:r>
      <w:r w:rsidRPr="00BA50A7">
        <w:rPr>
          <w:rFonts w:ascii="Book Antiqua" w:hAnsi="Book Antiqua" w:cs="Times New Roman"/>
          <w:i/>
          <w:iCs/>
          <w:noProof/>
          <w:sz w:val="24"/>
          <w:szCs w:val="24"/>
        </w:rPr>
        <w:t>The Ecumenist: A Journal of Theology, Culture and Society</w:t>
      </w:r>
      <w:r w:rsidRPr="00BA50A7">
        <w:rPr>
          <w:rFonts w:ascii="Book Antiqua" w:hAnsi="Book Antiqua" w:cs="Times New Roman"/>
          <w:noProof/>
          <w:sz w:val="24"/>
          <w:szCs w:val="24"/>
        </w:rPr>
        <w:t xml:space="preserve"> 51, no. 2 (2014): 1–9.</w:t>
      </w:r>
    </w:p>
    <w:p w14:paraId="0DF973CC"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Neuhaus, R. J. “The Dangers of Dialogue.” </w:t>
      </w:r>
      <w:r w:rsidRPr="00BA50A7">
        <w:rPr>
          <w:rFonts w:ascii="Book Antiqua" w:hAnsi="Book Antiqua" w:cs="Times New Roman"/>
          <w:i/>
          <w:iCs/>
          <w:noProof/>
          <w:sz w:val="24"/>
          <w:szCs w:val="24"/>
        </w:rPr>
        <w:t>National Review</w:t>
      </w:r>
      <w:r w:rsidRPr="00BA50A7">
        <w:rPr>
          <w:rFonts w:ascii="Book Antiqua" w:hAnsi="Book Antiqua" w:cs="Times New Roman"/>
          <w:noProof/>
          <w:sz w:val="24"/>
          <w:szCs w:val="24"/>
        </w:rPr>
        <w:t xml:space="preserve"> 41, no. 15 (1989).</w:t>
      </w:r>
    </w:p>
    <w:p w14:paraId="35DC1760"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“New Delhi Statement on Unity — World Council of Churches.” Accessed May 1, 2018. https://www.oikoumene.org/en/resources/documents/assembly/1961-new-delhi/new-delhi-statement-on-unity.</w:t>
      </w:r>
    </w:p>
    <w:p w14:paraId="5779958A"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O’Malley, John W. </w:t>
      </w:r>
      <w:r w:rsidRPr="00BA50A7">
        <w:rPr>
          <w:rFonts w:ascii="Book Antiqua" w:hAnsi="Book Antiqua" w:cs="Times New Roman"/>
          <w:i/>
          <w:iCs/>
          <w:noProof/>
          <w:sz w:val="24"/>
          <w:szCs w:val="24"/>
        </w:rPr>
        <w:t>What Happened at Vatican II</w:t>
      </w:r>
      <w:r w:rsidRPr="00BA50A7">
        <w:rPr>
          <w:rFonts w:ascii="Book Antiqua" w:hAnsi="Book Antiqua" w:cs="Times New Roman"/>
          <w:noProof/>
          <w:sz w:val="24"/>
          <w:szCs w:val="24"/>
        </w:rPr>
        <w:t>. Cambridge, MA: Belknap/Harvard University Press, 2010.</w:t>
      </w:r>
    </w:p>
    <w:p w14:paraId="6E6ABCE6"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cs="Times New Roman"/>
          <w:noProof/>
          <w:sz w:val="24"/>
          <w:szCs w:val="24"/>
        </w:rPr>
      </w:pPr>
      <w:r w:rsidRPr="00BA50A7">
        <w:rPr>
          <w:rFonts w:ascii="Book Antiqua" w:hAnsi="Book Antiqua" w:cs="Times New Roman"/>
          <w:noProof/>
          <w:sz w:val="24"/>
          <w:szCs w:val="24"/>
        </w:rPr>
        <w:t xml:space="preserve">Rourke, Thomas R. </w:t>
      </w:r>
      <w:r w:rsidRPr="00BA50A7">
        <w:rPr>
          <w:rFonts w:ascii="Book Antiqua" w:hAnsi="Book Antiqua" w:cs="Times New Roman"/>
          <w:i/>
          <w:iCs/>
          <w:noProof/>
          <w:sz w:val="24"/>
          <w:szCs w:val="24"/>
        </w:rPr>
        <w:t>The Roots of Pope Francis’ Social and Political Thought: From Argentina to the Vatican</w:t>
      </w:r>
      <w:r w:rsidRPr="00BA50A7">
        <w:rPr>
          <w:rFonts w:ascii="Book Antiqua" w:hAnsi="Book Antiqua" w:cs="Times New Roman"/>
          <w:noProof/>
          <w:sz w:val="24"/>
          <w:szCs w:val="24"/>
        </w:rPr>
        <w:t>. Lanham, Maryland: Rowman &amp; Littlefield, 2016.</w:t>
      </w:r>
    </w:p>
    <w:p w14:paraId="0FDDC7BB" w14:textId="77777777" w:rsidR="00BA50A7" w:rsidRPr="00BA50A7" w:rsidRDefault="00BA50A7" w:rsidP="00BA50A7">
      <w:pPr>
        <w:widowControl w:val="0"/>
        <w:autoSpaceDE w:val="0"/>
        <w:autoSpaceDN w:val="0"/>
        <w:adjustRightInd w:val="0"/>
        <w:spacing w:line="360" w:lineRule="auto"/>
        <w:ind w:left="480" w:hanging="480"/>
        <w:rPr>
          <w:rFonts w:ascii="Book Antiqua" w:hAnsi="Book Antiqua"/>
          <w:noProof/>
          <w:sz w:val="24"/>
        </w:rPr>
      </w:pPr>
      <w:r w:rsidRPr="00BA50A7">
        <w:rPr>
          <w:rFonts w:ascii="Book Antiqua" w:hAnsi="Book Antiqua" w:cs="Times New Roman"/>
          <w:noProof/>
          <w:sz w:val="24"/>
          <w:szCs w:val="24"/>
        </w:rPr>
        <w:t xml:space="preserve">Wendel, Francois. </w:t>
      </w:r>
      <w:r w:rsidRPr="00BA50A7">
        <w:rPr>
          <w:rFonts w:ascii="Book Antiqua" w:hAnsi="Book Antiqua" w:cs="Times New Roman"/>
          <w:i/>
          <w:iCs/>
          <w:noProof/>
          <w:sz w:val="24"/>
          <w:szCs w:val="24"/>
        </w:rPr>
        <w:t>Calvin: The Origins and Development of His Religious Thought</w:t>
      </w:r>
      <w:r w:rsidRPr="00BA50A7">
        <w:rPr>
          <w:rFonts w:ascii="Book Antiqua" w:hAnsi="Book Antiqua" w:cs="Times New Roman"/>
          <w:noProof/>
          <w:sz w:val="24"/>
          <w:szCs w:val="24"/>
        </w:rPr>
        <w:t>. New York: Harper and Row, 1963.</w:t>
      </w:r>
    </w:p>
    <w:p w14:paraId="35AD937A" w14:textId="4F24906C" w:rsidR="00485802" w:rsidRDefault="00FD0196" w:rsidP="00BA50A7">
      <w:pPr>
        <w:widowControl w:val="0"/>
        <w:autoSpaceDE w:val="0"/>
        <w:autoSpaceDN w:val="0"/>
        <w:adjustRightInd w:val="0"/>
        <w:spacing w:line="360" w:lineRule="auto"/>
        <w:ind w:left="480" w:hanging="480"/>
        <w:rPr>
          <w:rFonts w:ascii="Book Antiqua" w:eastAsia="Calibri" w:hAnsi="Book Antiqua" w:cs="Times New Roman"/>
          <w:sz w:val="24"/>
        </w:rPr>
      </w:pPr>
      <w:r>
        <w:rPr>
          <w:rFonts w:ascii="Book Antiqua" w:eastAsia="Calibri" w:hAnsi="Book Antiqua" w:cs="Times New Roman"/>
          <w:sz w:val="24"/>
        </w:rPr>
        <w:fldChar w:fldCharType="end"/>
      </w:r>
    </w:p>
    <w:bookmarkEnd w:id="0"/>
    <w:p w14:paraId="0DCCD484" w14:textId="77777777" w:rsidR="00485802" w:rsidRDefault="00485802" w:rsidP="00D933C8">
      <w:pPr>
        <w:spacing w:line="360" w:lineRule="auto"/>
        <w:ind w:firstLine="720"/>
        <w:rPr>
          <w:rFonts w:ascii="Book Antiqua" w:eastAsia="Calibri" w:hAnsi="Book Antiqua" w:cs="Times New Roman"/>
          <w:sz w:val="24"/>
        </w:rPr>
      </w:pPr>
    </w:p>
    <w:sectPr w:rsidR="004858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C8B2" w14:textId="77777777" w:rsidR="00B97D00" w:rsidRDefault="00B97D00" w:rsidP="004464C3">
      <w:pPr>
        <w:spacing w:after="0" w:line="240" w:lineRule="auto"/>
      </w:pPr>
      <w:r>
        <w:separator/>
      </w:r>
    </w:p>
  </w:endnote>
  <w:endnote w:type="continuationSeparator" w:id="0">
    <w:p w14:paraId="762D19E0" w14:textId="77777777" w:rsidR="00B97D00" w:rsidRDefault="00B97D00" w:rsidP="0044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1379" w14:textId="77777777" w:rsidR="00B97D00" w:rsidRDefault="00B97D00" w:rsidP="004464C3">
      <w:pPr>
        <w:spacing w:after="0" w:line="240" w:lineRule="auto"/>
      </w:pPr>
      <w:r>
        <w:separator/>
      </w:r>
    </w:p>
  </w:footnote>
  <w:footnote w:type="continuationSeparator" w:id="0">
    <w:p w14:paraId="227EA72B" w14:textId="77777777" w:rsidR="00B97D00" w:rsidRDefault="00B97D00" w:rsidP="004464C3">
      <w:pPr>
        <w:spacing w:after="0" w:line="240" w:lineRule="auto"/>
      </w:pPr>
      <w:r>
        <w:continuationSeparator/>
      </w:r>
    </w:p>
  </w:footnote>
  <w:footnote w:id="1">
    <w:p w14:paraId="7A2C3BF4" w14:textId="77777777" w:rsidR="00E42703" w:rsidRDefault="00E42703" w:rsidP="00F96B29">
      <w:pPr>
        <w:pStyle w:val="FootnoteText"/>
        <w:rPr>
          <w:rFonts w:ascii="Calibri" w:hAnsi="Calibri"/>
        </w:rPr>
      </w:pPr>
      <w:r>
        <w:rPr>
          <w:rStyle w:val="FootnoteReference"/>
        </w:rPr>
        <w:footnoteRef/>
      </w:r>
      <w:r>
        <w:rPr>
          <w:rStyle w:val="FootnoteReference"/>
        </w:rPr>
        <w:footnoteRef/>
      </w:r>
      <w:r>
        <w:t xml:space="preserve"> To be a “Reformed” or “Calvinist” or “Presbyterian” Christian is to trace the roots of one’s faith community back to John Calvin (d. 1564), the main Reformer of the formerly Catholic church in Geneva, Switzerland.  Calvin’s ministry was fed by-- and overlapped with-- the work of Martin Luther (d. 1546), who is the originator of the Lutheran churches.</w:t>
      </w:r>
    </w:p>
  </w:footnote>
  <w:footnote w:id="2">
    <w:p w14:paraId="0E04F787" w14:textId="430B7DA6" w:rsidR="00E42703" w:rsidRDefault="00E42703" w:rsidP="00F96B29">
      <w:pPr>
        <w:pStyle w:val="FootnoteText"/>
      </w:pPr>
      <w:r>
        <w:rPr>
          <w:rStyle w:val="FootnoteReference"/>
        </w:rPr>
        <w:footnoteRef/>
      </w:r>
      <w:r>
        <w:t xml:space="preserve"> </w:t>
      </w:r>
      <w:r>
        <w:fldChar w:fldCharType="begin" w:fldLock="1"/>
      </w:r>
      <w:r>
        <w:instrText>ADDIN CSL_CITATION {"citationItems":[{"id":"ITEM-1","itemData":{"URL":"https://www.oikoumene.org/en/resources/documents/assembly/1961-new-delhi/new-delhi-statement-on-unity","accessed":{"date-parts":[["2018","5","1"]]},"id":"ITEM-1","issued":{"date-parts":[["0"]]},"title":"New Delhi Statement on Unity — World Council of Churches","type":"webpage"},"uris":["http://www.mendeley.com/documents/?uuid=9d11bf28-9cae-3116-ad8a-a765647127af"]}],"mendeley":{"formattedCitation":"“New Delhi Statement on Unity — World Council of Churches,” accessed May 1, 2018, https://www.oikoumene.org/en/resources/documents/assembly/1961-new-delhi/new-delhi-statement-on-unity.","manualFormatting":"“New Delhi Statement on Unity — World Council of Churches,” accessed June 28, 2018, https://www.oikoumene.org/en/resources/documents/assembly/1961-new-delhi/new-delhi-statement-on-unity.","plainTextFormattedCitation":"“New Delhi Statement on Unity — World Council of Churches,” accessed May 1, 2018, https://www.oikoumene.org/en/resources/documents/assembly/1961-new-delhi/new-delhi-statement-on-unity.","previouslyFormattedCitation":"“New Delhi Statement on Unity — World Council of Churches,” accessed May 1, 2018, https://www.oikoumene.org/en/resources/documents/assembly/1961-new-delhi/new-delhi-statement-on-unity."},"properties":{"noteIndex":2},"schema":"https://github.com/citation-style-language/schema/raw/master/csl-citation.json"}</w:instrText>
      </w:r>
      <w:r>
        <w:fldChar w:fldCharType="separate"/>
      </w:r>
      <w:r>
        <w:rPr>
          <w:noProof/>
        </w:rPr>
        <w:t>“New Delhi Statement on Unity — World Council of Churches,” accessed June 28, 2018, https://www.oikoumene.org/en/resources/documents/assembly/1961-new-delhi/new-delhi-statement-on-unity.</w:t>
      </w:r>
      <w:r>
        <w:fldChar w:fldCharType="end"/>
      </w:r>
    </w:p>
  </w:footnote>
  <w:footnote w:id="3">
    <w:p w14:paraId="6F98C17E" w14:textId="007A0C1E" w:rsidR="00E42703" w:rsidRPr="00180941" w:rsidRDefault="00E42703" w:rsidP="00F96B29">
      <w:pPr>
        <w:pStyle w:val="FootnoteText"/>
      </w:pPr>
      <w:r>
        <w:rPr>
          <w:rStyle w:val="FootnoteReference"/>
        </w:rPr>
        <w:footnoteRef/>
      </w:r>
      <w:r>
        <w:t xml:space="preserve"> </w:t>
      </w:r>
      <w:r w:rsidR="00180941">
        <w:fldChar w:fldCharType="begin" w:fldLock="1"/>
      </w:r>
      <w:r w:rsidR="007E1BC2">
        <w:instrText>ADDIN CSL_CITATION {"citationItems":[{"id":"ITEM-1","itemData":{"author":[{"dropping-particle":"","family":"Carnley","given":"Peter","non-dropping-particle":"","parse-names":false,"suffix":""}],"container-title":"Leaning into the Spirit: The Fourth International Conference on Receptive Ecumenism","id":"ITEM-1","issued":{"date-parts":[["2017"]]},"publisher":"Australian Centre for Christianity and Culture","publisher-place":"Canberra, Australia","title":"Has 'Receptive Ecumenism' Got a Future?","type":"paper-conference"},"uris":["http://www.mendeley.com/documents/?uuid=500020e2-0cd8-4038-9870-bc5b4e580bf4"]}],"mendeley":{"formattedCitation":"Peter Carnley, “Has ‘Receptive Ecumenism’ Got a Future?,” in &lt;i&gt;Leaning into the Spirit: The Fourth International Conference on Receptive Ecumenism&lt;/i&gt; (Canberra, Australia: Australian Centre for Christianity and Culture, 2017).","manualFormatting":"Peter Carnley, “Has ‘Receptive Ecumenism’ Got a Future?,” in Leaning into the Spirit: The Fourth International Conference on Receptive Ecumenism (Canberra, Australia: Australian Centre for Christianity and Culture, November 9, 2017).","plainTextFormattedCitation":"Peter Carnley, “Has ‘Receptive Ecumenism’ Got a Future?,” in Leaning into the Spirit: The Fourth International Conference on Receptive Ecumenism (Canberra, Australia: Australian Centre for Christianity and Culture, 2017).","previouslyFormattedCitation":"Peter Carnley, “Has ‘Receptive Ecumenism’ Got a Future?,” in &lt;i&gt;Leaning into the Spirit: The Fourth International Conference on Receptive Ecumenism&lt;/i&gt; (Canberra, Australia: Australian Centre for Christianity and Culture, 2017)."},"properties":{"noteIndex":3},"schema":"https://github.com/citation-style-language/schema/raw/master/csl-citation.json"}</w:instrText>
      </w:r>
      <w:r w:rsidR="00180941">
        <w:fldChar w:fldCharType="separate"/>
      </w:r>
      <w:r w:rsidR="00180941" w:rsidRPr="00180941">
        <w:rPr>
          <w:noProof/>
        </w:rPr>
        <w:t xml:space="preserve">Peter Carnley, “Has ‘Receptive Ecumenism’ Got a Future?,” in </w:t>
      </w:r>
      <w:r w:rsidR="00180941" w:rsidRPr="00180941">
        <w:rPr>
          <w:i/>
          <w:noProof/>
        </w:rPr>
        <w:t>Leaning into the Spirit: The Fourth International Conference on Receptive Ecumenism</w:t>
      </w:r>
      <w:r w:rsidR="00180941" w:rsidRPr="00180941">
        <w:rPr>
          <w:noProof/>
        </w:rPr>
        <w:t xml:space="preserve"> (Canberra, Australia: Australian Centre for Christianity and Culture, </w:t>
      </w:r>
      <w:r w:rsidR="00F82F0A">
        <w:rPr>
          <w:noProof/>
        </w:rPr>
        <w:t>November 9, 2017</w:t>
      </w:r>
      <w:r w:rsidR="00180941" w:rsidRPr="00180941">
        <w:rPr>
          <w:noProof/>
        </w:rPr>
        <w:t>).</w:t>
      </w:r>
      <w:r w:rsidR="00180941">
        <w:fldChar w:fldCharType="end"/>
      </w:r>
    </w:p>
  </w:footnote>
  <w:footnote w:id="4">
    <w:p w14:paraId="72F948EA" w14:textId="2D25735D" w:rsidR="00E42703" w:rsidRDefault="00E42703">
      <w:pPr>
        <w:pStyle w:val="FootnoteText"/>
      </w:pPr>
      <w:r>
        <w:rPr>
          <w:rStyle w:val="FootnoteReference"/>
        </w:rPr>
        <w:footnoteRef/>
      </w:r>
      <w:r>
        <w:fldChar w:fldCharType="begin" w:fldLock="1"/>
      </w:r>
      <w:r>
        <w:instrText>ADDIN CSL_CITATION {"citationItems":[{"id":"ITEM-1","itemData":{"author":[{"dropping-particle":"","family":"Fahey","given":"Michael A.","non-dropping-particle":"","parse-names":false,"suffix":""}],"editor":[{"dropping-particle":"","family":"Fahey","given":"Michael A.","non-dropping-particle":"","parse-names":false,"suffix":""}],"id":"ITEM-1","issued":{"date-parts":[["1986"]]},"publisher":"University Press of America","publisher-place":"New York","title":"Catholic Perspectives on Baptism, Eucharist and Ministry","type":"book"},"uris":["http://www.mendeley.com/documents/?uuid=6d7ba6e1-afa0-43d7-ad6f-a38441ab9da0"]}],"mendeley":{"formattedCitation":"Michael A. Fahey, &lt;i&gt;Catholic Perspectives on Baptism, Eucharist and Ministry&lt;/i&gt;, ed. Michael A. Fahey (New York: University Press of America, 1986).","manualFormatting":"Michael A. Fahey, \"Twentieth Century Shifts in Roman Catholhic Attitudes toward Ecumenism,\" Catholic Perspectives on Baptism, Eucharist and Ministry, ed. Michael A. Fahey (New York: University Press of America, 1986),28.","plainTextFormattedCitation":"Michael A. Fahey, Catholic Perspectives on Baptism, Eucharist and Ministry, ed. Michael A. Fahey (New York: University Press of America, 1986).","previouslyFormattedCitation":"Michael A. Fahey, &lt;i&gt;Catholic Perspectives on Baptism, Eucharist and Ministry&lt;/i&gt;, ed. Michael A. Fahey (New York: University Press of America, 1986)."},"properties":{"noteIndex":4},"schema":"https://github.com/citation-style-language/schema/raw/master/csl-citation.json"}</w:instrText>
      </w:r>
      <w:r>
        <w:fldChar w:fldCharType="separate"/>
      </w:r>
      <w:r w:rsidRPr="009760FD">
        <w:rPr>
          <w:noProof/>
        </w:rPr>
        <w:t xml:space="preserve">Michael A. Fahey, </w:t>
      </w:r>
      <w:r>
        <w:rPr>
          <w:noProof/>
        </w:rPr>
        <w:t xml:space="preserve">"Twentieth Century Shifts in Roman Catholhic Attitudes toward Ecumenism," </w:t>
      </w:r>
      <w:r w:rsidRPr="009760FD">
        <w:rPr>
          <w:i/>
          <w:noProof/>
        </w:rPr>
        <w:t>Catholic Perspectives on Baptism, Eucharist and Ministry</w:t>
      </w:r>
      <w:r w:rsidRPr="009760FD">
        <w:rPr>
          <w:noProof/>
        </w:rPr>
        <w:t>, ed. Michael A. Fahey (New York: University Press of America, 1986)</w:t>
      </w:r>
      <w:r>
        <w:rPr>
          <w:noProof/>
        </w:rPr>
        <w:t>,28</w:t>
      </w:r>
      <w:r w:rsidRPr="009760FD">
        <w:rPr>
          <w:noProof/>
        </w:rPr>
        <w:t>.</w:t>
      </w:r>
      <w:r>
        <w:fldChar w:fldCharType="end"/>
      </w:r>
    </w:p>
  </w:footnote>
  <w:footnote w:id="5">
    <w:p w14:paraId="007618AC" w14:textId="16BCEAD7" w:rsidR="00E42703" w:rsidRDefault="00E42703">
      <w:pPr>
        <w:pStyle w:val="FootnoteText"/>
      </w:pPr>
      <w:r>
        <w:rPr>
          <w:rStyle w:val="FootnoteReference"/>
        </w:rPr>
        <w:footnoteRef/>
      </w:r>
      <w:r>
        <w:t xml:space="preserve"> </w:t>
      </w:r>
      <w:r>
        <w:fldChar w:fldCharType="begin" w:fldLock="1"/>
      </w:r>
      <w:r>
        <w:instrText>ADDIN CSL_CITATION {"citationItems":[{"id":"ITEM-1","itemData":{"URL":"http://www.oikoumene.org/en/resources/documents/wcc-programmes/church-and-ecumenical-relations/non-member-churches-ecumenical-organizations/joint-working-group/18-11-05-the-ecumenical-movement-in-the-21st-century.html","accessed":{"date-parts":[["2007","2","24"]]},"author":[{"dropping-particle":"","family":"Kaspar","given":"Walter Cardinal","non-dropping-particle":"","parse-names":false,"suffix":""}],"id":"ITEM-1","issued":{"date-parts":[["2005"]]},"title":"The ecumenical movement in the 21st century: A contribution from the PCPCU","type":"webpage"},"uris":["http://www.mendeley.com/documents/?uuid=8153f3af-869b-4d98-ae1f-c097ab3b5895"]}],"mendeley":{"formattedCitation":"Walter Cardinal Kaspar, “The Ecumenical Movement in the 21st Century: A Contribution from the PCPCU,” 2005, http://www.oikoumene.org/en/resources/documents/wcc-programmes/church-and-ecumenical-relations/non-member-churches-ecumenical-organizations/joint-working-group/18-11-05-the-ecumenical-movement-in-the-21st-century.html.","plainTextFormattedCitation":"Walter Cardinal Kaspar, “The Ecumenical Movement in the 21st Century: A Contribution from the PCPCU,” 2005, http://www.oikoumene.org/en/resources/documents/wcc-programmes/church-and-ecumenical-relations/non-member-churches-ecumenical-organizations/joint-working-group/18-11-05-the-ecumenical-movement-in-the-21st-century.html.","previouslyFormattedCitation":"Walter Cardinal Kaspar, “The Ecumenical Movement in the 21st Century: A Contribution from the PCPCU,” 2005, http://www.oikoumene.org/en/resources/documents/wcc-programmes/church-and-ecumenical-relations/non-member-churches-ecumenical-organizations/joint-working-group/18-11-05-the-ecumenical-movement-in-the-21st-century.html."},"properties":{"noteIndex":5},"schema":"https://github.com/citation-style-language/schema/raw/master/csl-citation.json"}</w:instrText>
      </w:r>
      <w:r>
        <w:fldChar w:fldCharType="separate"/>
      </w:r>
      <w:r w:rsidRPr="00C27A5B">
        <w:rPr>
          <w:noProof/>
        </w:rPr>
        <w:t>Walter Cardinal Kaspar, “The Ecumenical Movement in the 21st Century: A Contribution from the PCPCU,” 2005, http://www.oikoumene.org/en/resources/documents/wcc-programmes/church-and-ecumenical-relations/non-member-churches-ecumenical-organizations/joint-working-group/18-11-05-the-ecumenical-movement-in-the-21st-century.html.</w:t>
      </w:r>
      <w:r>
        <w:fldChar w:fldCharType="end"/>
      </w:r>
      <w:r>
        <w:t xml:space="preserve"> </w:t>
      </w:r>
    </w:p>
  </w:footnote>
  <w:footnote w:id="6">
    <w:p w14:paraId="7E2CFF0D" w14:textId="73A9AA8E"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{"citationItems":[{"id":"ITEM-1","itemData":{"author":[{"dropping-particle":"","family":"Fahey","given":"Michael A.","non-dropping-particle":"","parse-names":false,"suffix":""}],"editor":[{"dropping-particle":"","family":"Fahey","given":"Michael A.","non-dropping-particle":"","parse-names":false,"suffix":""}],"id":"ITEM-1","issued":{"date-parts":[["1986"]]},"publisher":"University Press of America","publisher-place":"New York","title":"Catholic Perspectives on Baptism, Eucharist and Ministry","type":"book"},"uris":["http://www.mendeley.com/documents/?uuid=6d7ba6e1-afa0-43d7-ad6f-a38441ab9da0"]}],"mendeley":{"formattedCitation":"Fahey, &lt;i&gt;Catholic Perspectives on Baptism, Eucharist and Ministry&lt;/i&gt;.","manualFormatting":"Fahey, Catholic Perspectives on Baptism, Eucharist and Ministry","plainTextFormattedCitation":"Fahey, Catholic Perspectives on Baptism, Eucharist and Ministry.","previouslyFormattedCitation":"Fahey, &lt;i&gt;Catholic Perspectives on Baptism, Eucharist and Ministry&lt;/i&gt;."},"properties":{"noteIndex":6},"schema":"https://github.com/citation-style-language/schema/raw/master/csl-citation.json"}</w:instrText>
      </w:r>
      <w:r>
        <w:fldChar w:fldCharType="separate"/>
      </w:r>
      <w:r w:rsidRPr="00C27A5B">
        <w:rPr>
          <w:noProof/>
        </w:rPr>
        <w:t xml:space="preserve">Fahey, </w:t>
      </w:r>
      <w:r w:rsidRPr="00C27A5B">
        <w:rPr>
          <w:i/>
          <w:noProof/>
        </w:rPr>
        <w:t>Catholic Perspectives on Baptism, Eucharist and Ministry</w:t>
      </w:r>
      <w:r>
        <w:fldChar w:fldCharType="end"/>
      </w:r>
      <w:r>
        <w:t>, 29.</w:t>
      </w:r>
    </w:p>
  </w:footnote>
  <w:footnote w:id="7">
    <w:p w14:paraId="26E08F1D" w14:textId="7693500F"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language)","id":"ITEM-1","issued":{"date-parts":[["1996"]]},"page":"499-523","publisher":"Costello Publishing Company","publisher-place":"Northport, New York","title":"Unitatis redintegratio","type":"chapter"},"uris":["http://www.mendeley.com/documents/?uuid=cb699927-d9e5-4938-9f2b-452112e5865a"]}],"mendeley":{"formattedCitation":"Austin Flannery, “Unitatis Redintegratio,” in &lt;i&gt;The Basic Sixteen Documents: Vatican Council II (A Completely Revised Translation in Inclusive Language)&lt;/i&gt; (Northport, New York: Costello Publishing Company, 1996), 499–523.","manualFormatting":"Austin Flannery, “Unitatis Redintegratio,” in The Basic Sixteen Documents: Vatican Council II (A Completely Revised Translation in Inclusive Language) (Northport, New York: Costello Publishing Company, 1996), paragraph","plainTextFormattedCitation":"Austin Flannery, “Unitatis Redintegratio,” in The Basic Sixteen Documents: Vatican Council II (A Completely Revised Translation in Inclusive Language) (Northport, New York: Costello Publishing Company, 1996), 499–523.","previouslyFormattedCitation":"Austin Flannery, “Unitatis Redintegratio,” in &lt;i&gt;The Basic Sixteen Documents: Vatican Council II (A Completely Revised Translation in Inclusive Language)&lt;/i&gt; (Northport, New York: Costello Publishing Company, 1996), 499–523."},"properties":{"noteIndex":7},"schema":"https://github.com/citation-style-language/schema/raw/master/csl-citation.json"}</w:instrText>
      </w:r>
      <w:r>
        <w:fldChar w:fldCharType="separate"/>
      </w:r>
      <w:r w:rsidRPr="00C27A5B">
        <w:rPr>
          <w:noProof/>
        </w:rPr>
        <w:t xml:space="preserve">Austin Flannery, “Unitatis Redintegratio,” in </w:t>
      </w:r>
      <w:r w:rsidRPr="00C27A5B">
        <w:rPr>
          <w:i/>
          <w:noProof/>
        </w:rPr>
        <w:t>The Basic Sixteen Documents: Vatican Council II (A Completely Revised Translation in Inclusive Language)</w:t>
      </w:r>
      <w:r w:rsidRPr="00C27A5B">
        <w:rPr>
          <w:noProof/>
        </w:rPr>
        <w:t xml:space="preserve"> (Northport, New York: Costello Publishing Company, 1996), </w:t>
      </w:r>
      <w:r>
        <w:rPr>
          <w:noProof/>
        </w:rPr>
        <w:t>paragraph</w:t>
      </w:r>
      <w:r>
        <w:fldChar w:fldCharType="end"/>
      </w:r>
      <w:r>
        <w:t xml:space="preserve"> 3.</w:t>
      </w:r>
    </w:p>
  </w:footnote>
  <w:footnote w:id="8">
    <w:p w14:paraId="582EF71F" w14:textId="57849889" w:rsidR="00E42703" w:rsidRDefault="00E42703">
      <w:pPr>
        <w:pStyle w:val="FootnoteText"/>
      </w:pPr>
      <w:r>
        <w:rPr>
          <w:rStyle w:val="FootnoteReference"/>
        </w:rPr>
        <w:footnoteRef/>
      </w:r>
      <w:r>
        <w:t xml:space="preserve"> Ibid.</w:t>
      </w:r>
    </w:p>
  </w:footnote>
  <w:footnote w:id="9">
    <w:p w14:paraId="3B9743E9" w14:textId="45BA49E6" w:rsidR="00E42703" w:rsidRDefault="00E42703">
      <w:pPr>
        <w:pStyle w:val="FootnoteText"/>
      </w:pPr>
      <w:r>
        <w:rPr>
          <w:rStyle w:val="FootnoteReference"/>
        </w:rPr>
        <w:footnoteRef/>
      </w:r>
      <w:r>
        <w:t xml:space="preserve"> </w:t>
      </w:r>
      <w:r w:rsidR="00BA50A7">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gentium","type":"chapter"},"uris":["http://www.mendeley.com/documents/?uuid=9a9e0d23-35ec-4514-8c7d-7c51390ab774"]}],"mendeley":{"formattedCitation":"Austin Flannery, “Lumen Gentium,” in &lt;i&gt;The Basic Sixteen Documents: Vatican Council II (A Completely Revised Translation in Inclusive Language)&lt;/i&gt; (Northport, New York: Coste, 1996), 1–96.","manualFormatting":"Austin Flannery, “Lumen Gentium,” in The Basic Sixteen Documents: Vatican Council II (A Completely Revised Translation in Inclusive Language) (Northport, New York: Coste, 1996), paragraph 8.","plainTextFormattedCitation":"Austin Flannery, “Lumen Gentium,” in The Basic Sixteen Documents: Vatican Council II (A Completely Revised Translation in Inclusive Language) (Northport, New York: Coste, 1996), 1–96.","previouslyFormattedCitation":"Austin Flannery, “Lumen Gentium,” in &lt;i&gt;The Basic Sixteen Documents: Vatican Council II (A Completely Revised Translation in Inclusive Language)&lt;/i&gt; (Northport, New York: Coste, 1996), 1–96."},"properties":{"noteIndex":9},"schema":"https://github.com/citation-style-language/schema/raw/master/csl-citation.json"}</w:instrText>
      </w:r>
      <w:r w:rsidR="00BA50A7">
        <w:fldChar w:fldCharType="separate"/>
      </w:r>
      <w:r w:rsidR="00BA50A7" w:rsidRPr="00BA50A7">
        <w:rPr>
          <w:noProof/>
        </w:rPr>
        <w:t xml:space="preserve">Austin Flannery, “Lumen Gentium,” in </w:t>
      </w:r>
      <w:r w:rsidR="00BA50A7" w:rsidRPr="00BA50A7">
        <w:rPr>
          <w:i/>
          <w:noProof/>
        </w:rPr>
        <w:t>The Basic Sixteen Documents: Vatican Council II (A Completely Revised Translation in Inclusive Language)</w:t>
      </w:r>
      <w:r w:rsidR="00BA50A7" w:rsidRPr="00BA50A7">
        <w:rPr>
          <w:noProof/>
        </w:rPr>
        <w:t xml:space="preserve"> (Northport, New York: Coste, 1996), </w:t>
      </w:r>
      <w:r w:rsidR="00BA50A7">
        <w:rPr>
          <w:noProof/>
        </w:rPr>
        <w:t>paragraph 8</w:t>
      </w:r>
      <w:r w:rsidR="00BA50A7" w:rsidRPr="00BA50A7">
        <w:rPr>
          <w:noProof/>
        </w:rPr>
        <w:t>.</w:t>
      </w:r>
      <w:r w:rsidR="00BA50A7">
        <w:fldChar w:fldCharType="end"/>
      </w:r>
    </w:p>
  </w:footnote>
  <w:footnote w:id="10">
    <w:p w14:paraId="3564FCD1" w14:textId="31FBF533"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{"citationItems":[{"id":"ITEM-1","itemData":{"author":[{"dropping-particle":"","family":"Fahey","given":"Michael A.","non-dropping-particle":"","parse-names":false,"suffix":""}],"editor":[{"dropping-particle":"","family":"Fahey","given":"Michael A.","non-dropping-particle":"","parse-names":false,"suffix":""}],"id":"ITEM-1","issued":{"date-parts":[["1986"]]},"publisher":"University Press of America","publisher-place":"New York","title":"Catholic Perspectives on Baptism, Eucharist and Ministry","type":"book"},"uris":["http://www.mendeley.com/documents/?uuid=6d7ba6e1-afa0-43d7-ad6f-a38441ab9da0"]}],"mendeley":{"formattedCitation":"Fahey, &lt;i&gt;Catholic Perspectives on Baptism, Eucharist and Ministry&lt;/i&gt;.","manualFormatting":"Fahey, Catholic Perspectives on Baptism, Eucharist and Ministry, 30.","plainTextFormattedCitation":"Fahey, Catholic Perspectives on Baptism, Eucharist and Ministry.","previouslyFormattedCitation":"Fahey, &lt;i&gt;Catholic Perspectives on Baptism, Eucharist and Ministry&lt;/i&gt;."},"properties":{"noteIndex":10},"schema":"https://github.com/citation-style-language/schema/raw/master/csl-citation.json"}</w:instrText>
      </w:r>
      <w:r>
        <w:fldChar w:fldCharType="separate"/>
      </w:r>
      <w:r w:rsidRPr="00C27A5B">
        <w:rPr>
          <w:noProof/>
        </w:rPr>
        <w:t xml:space="preserve">Fahey, </w:t>
      </w:r>
      <w:r w:rsidRPr="00C27A5B">
        <w:rPr>
          <w:i/>
          <w:noProof/>
        </w:rPr>
        <w:t>Catholic Perspectives on Baptism, Eucharist and Ministry</w:t>
      </w:r>
      <w:r>
        <w:rPr>
          <w:i/>
          <w:noProof/>
        </w:rPr>
        <w:t xml:space="preserve">, </w:t>
      </w:r>
      <w:r w:rsidRPr="003B7279">
        <w:rPr>
          <w:noProof/>
        </w:rPr>
        <w:t>30</w:t>
      </w:r>
      <w:r w:rsidRPr="00C27A5B">
        <w:rPr>
          <w:noProof/>
        </w:rPr>
        <w:t>.</w:t>
      </w:r>
      <w:r>
        <w:fldChar w:fldCharType="end"/>
      </w:r>
      <w:r>
        <w:t xml:space="preserve"> See also </w:t>
      </w:r>
      <w:r>
        <w:fldChar w:fldCharType="begin" w:fldLock="1"/>
      </w:r>
      <w:r>
        <w:instrText>ADDIN CSL_CITATION {"citationItems":[{"id":"ITEM-1","itemData":{"author":[{"dropping-particle":"","family":"Murray","given":"Paul D","non-dropping-particle":"","parse-names":false,"suffix":""}],"container-title":"The ecumenist: A journal of theology, culture and society","id":"ITEM-1","issue":"2","issued":{"date-parts":[["2014"]]},"page":"1-9","title":"Introducing Receptive Ecumenism","type":"article-journal","volume":"51"},"uris":["http://www.mendeley.com/documents/?uuid=61d26e9c-e07b-4b2e-b9a1-b17d8e29ef6e"]}],"mendeley":{"formattedCitation":"Paul D Murray, “Introducing Receptive Ecumenism,” &lt;i&gt;The Ecumenist: A Journal of Theology, Culture and Society&lt;/i&gt; 51, no. 2 (2014): 1–9.","manualFormatting":"Paul D Murray, “Introducing Receptive Ecumenism,” The Ecumenist: A Journal of Theology, Culture and Society 51, no. 2 (2014), 2.","plainTextFormattedCitation":"Paul D Murray, “Introducing Receptive Ecumenism,” The Ecumenist: A Journal of Theology, Culture and Society 51, no. 2 (2014): 1–9.","previouslyFormattedCitation":"Paul D Murray, “Introducing Receptive Ecumenism,” &lt;i&gt;The Ecumenist: A Journal of Theology, Culture and Society&lt;/i&gt; 51, no. 2 (2014): 1–9."},"properties":{"noteIndex":10},"schema":"https://github.com/citation-style-language/schema/raw/master/csl-citation.json"}</w:instrText>
      </w:r>
      <w:r>
        <w:fldChar w:fldCharType="separate"/>
      </w:r>
      <w:r w:rsidRPr="00C27A5B">
        <w:rPr>
          <w:noProof/>
        </w:rPr>
        <w:t xml:space="preserve">Paul D Murray, “Introducing Receptive Ecumenism,” </w:t>
      </w:r>
      <w:r w:rsidRPr="00C27A5B">
        <w:rPr>
          <w:i/>
          <w:noProof/>
        </w:rPr>
        <w:t>The Ecumenist: A Journal of Theology, Culture and Society</w:t>
      </w:r>
      <w:r w:rsidRPr="00C27A5B">
        <w:rPr>
          <w:noProof/>
        </w:rPr>
        <w:t xml:space="preserve"> 51, no. 2 (2014)</w:t>
      </w:r>
      <w:r>
        <w:rPr>
          <w:noProof/>
        </w:rPr>
        <w:t>,</w:t>
      </w:r>
      <w:r w:rsidRPr="00C27A5B">
        <w:rPr>
          <w:noProof/>
        </w:rPr>
        <w:t xml:space="preserve"> </w:t>
      </w:r>
      <w:r>
        <w:rPr>
          <w:noProof/>
        </w:rPr>
        <w:t>2</w:t>
      </w:r>
      <w:r w:rsidRPr="00C27A5B">
        <w:rPr>
          <w:noProof/>
        </w:rPr>
        <w:t>.</w:t>
      </w:r>
      <w:r>
        <w:fldChar w:fldCharType="end"/>
      </w:r>
    </w:p>
  </w:footnote>
  <w:footnote w:id="11">
    <w:p w14:paraId="58062DFF" w14:textId="11711778" w:rsidR="00E42703" w:rsidRDefault="00E42703" w:rsidP="004C2EF5">
      <w:pPr>
        <w:pStyle w:val="FootnoteText"/>
      </w:pPr>
      <w:r>
        <w:rPr>
          <w:rStyle w:val="FootnoteReference"/>
        </w:rPr>
        <w:footnoteRef/>
      </w:r>
      <w:r>
        <w:fldChar w:fldCharType="begin" w:fldLock="1"/>
      </w:r>
      <w:r>
        <w:instrText>ADDIN CSL_CITATION {"citationItems":[{"id":"ITEM-1","itemData":{"author":[{"dropping-particle":"","family":"Murray","given":"J.C.","non-dropping-particle":"","parse-names":false,"suffix":""}],"container-title":"One in Christ","id":"ITEM-1","issued":{"date-parts":[["1989"]]},"page":"163-168","title":"Ecumenism: The next steps.","type":"article-journal","volume":"25"},"uris":["http://www.mendeley.com/documents/?uuid=4071fec1-8dbc-4914-ad1a-1371936eacba"]}],"mendeley":{"formattedCitation":"J.C. Murray, “Ecumenism: The next Steps.,” &lt;i&gt;One in Christ&lt;/i&gt; 25 (1989): 163–68.","manualFormatting":"J.C. Murray, “Ecumenism: The next Steps.,” One in Christ 25 (1989), 163.","plainTextFormattedCitation":"J.C. Murray, “Ecumenism: The next Steps.,” One in Christ 25 (1989): 163–68.","previouslyFormattedCitation":"J.C. Murray, “Ecumenism: The next Steps.,” &lt;i&gt;One in Christ&lt;/i&gt; 25 (1989): 163–68."},"properties":{"noteIndex":11},"schema":"https://github.com/citation-style-language/schema/raw/master/csl-citation.json"}</w:instrText>
      </w:r>
      <w:r>
        <w:fldChar w:fldCharType="separate"/>
      </w:r>
      <w:r w:rsidRPr="005432D8">
        <w:rPr>
          <w:noProof/>
        </w:rPr>
        <w:t xml:space="preserve">J.C. Murray, “Ecumenism: The next Steps.,” </w:t>
      </w:r>
      <w:r w:rsidRPr="005432D8">
        <w:rPr>
          <w:i/>
          <w:noProof/>
        </w:rPr>
        <w:t>One in Christ</w:t>
      </w:r>
      <w:r w:rsidRPr="005432D8">
        <w:rPr>
          <w:noProof/>
        </w:rPr>
        <w:t xml:space="preserve"> 25 (1989)</w:t>
      </w:r>
      <w:r>
        <w:rPr>
          <w:noProof/>
        </w:rPr>
        <w:t>,</w:t>
      </w:r>
      <w:r w:rsidRPr="005432D8">
        <w:rPr>
          <w:noProof/>
        </w:rPr>
        <w:t xml:space="preserve"> 163.</w:t>
      </w:r>
      <w:r>
        <w:fldChar w:fldCharType="end"/>
      </w:r>
    </w:p>
  </w:footnote>
  <w:footnote w:id="12">
    <w:p w14:paraId="255B3814" w14:textId="5CE7133A"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{"citationItems":[{"id":"ITEM-1","itemData":{"author":[{"dropping-particle":"","family":"Greenspun","given":"William B.","non-dropping-particle":"","parse-names":false,"suffix":""},{"dropping-particle":"","family":"Norgren","given":"William A.","non-dropping-particle":"","parse-names":false,"suffix":""}],"id":"ITEM-1","issued":{"date-parts":[["1965"]]},"publisher":"National Council of Churches of Christ in the U.S.A.; Paulist Press","publisher-place":"Glen Rock, New Jersey; New York, New York","title":"Living room dialogues: A guide for lay conversation Catholic, Orthodox, Protestant","type":"book"},"uris":["http://www.mendeley.com/documents/?uuid=9d2bacc2-f3c0-41f9-8103-c7ea86f73fc6"]}],"mendeley":{"formattedCitation":"William B. Greenspun and William A. Norgren, &lt;i&gt;Living Room Dialogues: A Guide for Lay Conversation Catholic, Orthodox, Protestant&lt;/i&gt; (Glen Rock, New Jersey; New York, New York: National Council of Churches of Christ in the U.S.A.; Paulist Press, 1965).","plainTextFormattedCitation":"William B. Greenspun and William A. Norgren, Living Room Dialogues: A Guide for Lay Conversation Catholic, Orthodox, Protestant (Glen Rock, New Jersey; New York, New York: National Council of Churches of Christ in the U.S.A.; Paulist Press, 1965).","previouslyFormattedCitation":"William B. Greenspun and William A. Norgren, &lt;i&gt;Living Room Dialogues: A Guide for Lay Conversation Catholic, Orthodox, Protestant&lt;/i&gt; (Glen Rock, New Jersey; New York, New York: National Council of Churches of Christ in the U.S.A.; Paulist Press, 1965)."},"properties":{"noteIndex":12},"schema":"https://github.com/citation-style-language/schema/raw/master/csl-citation.json"}</w:instrText>
      </w:r>
      <w:r>
        <w:fldChar w:fldCharType="separate"/>
      </w:r>
      <w:r w:rsidRPr="002C656D">
        <w:rPr>
          <w:noProof/>
        </w:rPr>
        <w:t xml:space="preserve">William B. Greenspun and William A. Norgren, </w:t>
      </w:r>
      <w:r w:rsidRPr="002C656D">
        <w:rPr>
          <w:i/>
          <w:noProof/>
        </w:rPr>
        <w:t>Living Room Dialogues: A Guide for Lay Conversation Catholic, Orthodox, Protestant</w:t>
      </w:r>
      <w:r w:rsidRPr="002C656D">
        <w:rPr>
          <w:noProof/>
        </w:rPr>
        <w:t xml:space="preserve"> (Glen Rock, New Jersey; New York, New York: National Council of Churches of Christ in the U.S.A.; Paulist Press, 1965).</w:t>
      </w:r>
      <w:r>
        <w:fldChar w:fldCharType="end"/>
      </w:r>
    </w:p>
  </w:footnote>
  <w:footnote w:id="13">
    <w:p w14:paraId="5AA76E81" w14:textId="3FA62173"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{"citationItems":[{"id":"ITEM-1","itemData":{"author":[{"dropping-particle":"","family":"Greenspun","given":"William B.","non-dropping-particle":"","parse-names":false,"suffix":""},{"dropping-particle":"","family":"Norgren","given":"William A.","non-dropping-particle":"","parse-names":false,"suffix":""}],"id":"ITEM-1","issued":{"date-parts":[["1967"]]},"publisher":"National Council of Churches of Christ in the U.S.A.; Paulist Press","publisher-place":"Glen Rock, New Jersey; New York, New York","title":"Living room dialogues: A guide for lay discussion Catholic-Orthodox-Protestant","type":"book"},"uris":["http://www.mendeley.com/documents/?uuid=adef0966-05c6-484a-9b86-da714f62a038"]}],"mendeley":{"formattedCitation":"William B. Greenspun and William A. Norgren, &lt;i&gt;Living Room Dialogues: A Guide for Lay Discussion Catholic-Orthodox-Protestant&lt;/i&gt; (Glen Rock, New Jersey; New York, New York: National Council of Churches of Christ in the U.S.A.; Paulist Press, 1967).","manualFormatting":"William B. Greenspun and William A. Norgren, Living Room Dialogues: A Guide for Lay Discussion Catholic-Orthodox-Protestant, (Glen Rock, New Jersey; New York, New York: National Council of Churches of Christ in the U.S.A.; Paulist Press, 1967), ix.","plainTextFormattedCitation":"William B. Greenspun and William A. Norgren, Living Room Dialogues: A Guide for Lay Discussion Catholic-Orthodox-Protestant (Glen Rock, New Jersey; New York, New York: National Council of Churches of Christ in the U.S.A.; Paulist Press, 1967).","previouslyFormattedCitation":"William B. Greenspun and William A. Norgren, &lt;i&gt;Living Room Dialogues: A Guide for Lay Discussion Catholic-Orthodox-Protestant&lt;/i&gt; (Glen Rock, New Jersey; New York, New York: National Council of Churches of Christ in the U.S.A.; Paulist Press, 1967)."},"properties":{"noteIndex":13},"schema":"https://github.com/citation-style-language/schema/raw/master/csl-citation.json"}</w:instrText>
      </w:r>
      <w:r>
        <w:fldChar w:fldCharType="separate"/>
      </w:r>
      <w:r w:rsidRPr="002C656D">
        <w:rPr>
          <w:noProof/>
        </w:rPr>
        <w:t xml:space="preserve">William B. Greenspun and William A. Norgren, </w:t>
      </w:r>
      <w:r w:rsidRPr="002C656D">
        <w:rPr>
          <w:i/>
          <w:noProof/>
        </w:rPr>
        <w:t>Living Room Dialogues: A Guide for Lay Discussion Catholic-Orthodox-Protestant</w:t>
      </w:r>
      <w:r w:rsidRPr="002C656D">
        <w:rPr>
          <w:noProof/>
        </w:rPr>
        <w:t>, (Glen Rock, New Jersey; New York, New York: National Council of Churches of Christ in the U.S.A.; Paulist Press, 1967</w:t>
      </w:r>
      <w:r>
        <w:rPr>
          <w:noProof/>
        </w:rPr>
        <w:t>), ix.</w:t>
      </w:r>
      <w:r>
        <w:fldChar w:fldCharType="end"/>
      </w:r>
    </w:p>
  </w:footnote>
  <w:footnote w:id="14">
    <w:p w14:paraId="0771455A" w14:textId="71828EE5"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{"citationItems":[{"id":"ITEM-1","itemData":{"author":[{"dropping-particle":"","family":"Murray","given":"Paul D","non-dropping-particle":"","parse-names":false,"suffix":""}],"container-title":"The ecumenist: A journal of theology, culture and society","id":"ITEM-1","issue":"2","issued":{"date-parts":[["2014"]]},"page":"1-9","title":"Introducing Receptive Ecumenism","type":"article-journal","volume":"51"},"uris":["http://www.mendeley.com/documents/?uuid=61d26e9c-e07b-4b2e-b9a1-b17d8e29ef6e"]}],"mendeley":{"formattedCitation":"Murray, “Introducing Receptive Ecumenism.”","manualFormatting":"Murray, “Introducing Receptive Ecumenism,”","plainTextFormattedCitation":"Murray, “Introducing Receptive Ecumenism.”","previouslyFormattedCitation":"Murray, “Introducing Receptive Ecumenism.”"},"properties":{"noteIndex":14},"schema":"https://github.com/citation-style-language/schema/raw/master/csl-citation.json"}</w:instrText>
      </w:r>
      <w:r>
        <w:fldChar w:fldCharType="separate"/>
      </w:r>
      <w:r w:rsidRPr="005432D8">
        <w:rPr>
          <w:noProof/>
        </w:rPr>
        <w:t>Murray, “Introducing Receptive Ecumenism</w:t>
      </w:r>
      <w:r>
        <w:rPr>
          <w:noProof/>
        </w:rPr>
        <w:t>,</w:t>
      </w:r>
      <w:r w:rsidRPr="005432D8">
        <w:rPr>
          <w:noProof/>
        </w:rPr>
        <w:t>”</w:t>
      </w:r>
      <w:r>
        <w:fldChar w:fldCharType="end"/>
      </w:r>
      <w:r>
        <w:t xml:space="preserve"> 2.</w:t>
      </w:r>
    </w:p>
  </w:footnote>
  <w:footnote w:id="15">
    <w:p w14:paraId="0E62AF0E" w14:textId="6A3B7067" w:rsidR="00E42703" w:rsidRDefault="00E42703">
      <w:pPr>
        <w:pStyle w:val="FootnoteText"/>
      </w:pPr>
      <w:r>
        <w:rPr>
          <w:rStyle w:val="FootnoteReference"/>
        </w:rPr>
        <w:footnoteRef/>
      </w:r>
      <w:r>
        <w:t xml:space="preserve"> </w:t>
      </w:r>
      <w:r>
        <w:fldChar w:fldCharType="begin" w:fldLock="1"/>
      </w:r>
      <w:r>
        <w:instrText>ADDIN CSL_CITATION {"citationItems":[{"id":"ITEM-1","itemData":{"author":[{"dropping-particle":"","family":"Churches Together in England","given":"","non-dropping-particle":"","parse-names":false,"suffix":""}],"id":"ITEM-1","issued":{"date-parts":[["0"]]},"publisher-place":"London","title":"Called to be One","type":"book"},"uris":["http://www.mendeley.com/documents/?uuid=8c446074-5741-45d0-8416-9434040b730a"]}],"mendeley":{"formattedCitation":"Churches Together in England, &lt;i&gt;Called to Be One&lt;/i&gt; (London, n.d.).","manualFormatting":"Churches Together in England, Called to Be One (London, 1996, 2002).","plainTextFormattedCitation":"Churches Together in England, Called to Be One (London, n.d.).","previouslyFormattedCitation":"Churches Together in England, &lt;i&gt;Called to Be One&lt;/i&gt; (London, n.d.)."},"properties":{"noteIndex":15},"schema":"https://github.com/citation-style-language/schema/raw/master/csl-citation.json"}</w:instrText>
      </w:r>
      <w:r>
        <w:fldChar w:fldCharType="separate"/>
      </w:r>
      <w:r w:rsidRPr="006B2A02">
        <w:rPr>
          <w:noProof/>
        </w:rPr>
        <w:t xml:space="preserve">Churches Together in England, </w:t>
      </w:r>
      <w:r w:rsidRPr="006B2A02">
        <w:rPr>
          <w:i/>
          <w:noProof/>
        </w:rPr>
        <w:t>Called to Be One</w:t>
      </w:r>
      <w:r w:rsidRPr="006B2A02">
        <w:rPr>
          <w:noProof/>
        </w:rPr>
        <w:t xml:space="preserve"> (London, </w:t>
      </w:r>
      <w:r>
        <w:rPr>
          <w:noProof/>
        </w:rPr>
        <w:t>1996, 2002)</w:t>
      </w:r>
      <w:r w:rsidRPr="006B2A02">
        <w:rPr>
          <w:noProof/>
        </w:rPr>
        <w:t>.</w:t>
      </w:r>
      <w:r>
        <w:fldChar w:fldCharType="end"/>
      </w:r>
    </w:p>
  </w:footnote>
  <w:footnote w:id="16">
    <w:p w14:paraId="37DE5E42" w14:textId="34492B63" w:rsidR="00E42703" w:rsidRPr="003B7279" w:rsidRDefault="00E42703">
      <w:pPr>
        <w:pStyle w:val="FootnoteText"/>
        <w:rPr>
          <w:color w:val="C00000"/>
        </w:rPr>
      </w:pPr>
      <w:r>
        <w:rPr>
          <w:rStyle w:val="FootnoteReference"/>
        </w:rPr>
        <w:footnoteRef/>
      </w:r>
      <w:r>
        <w:t xml:space="preserve"> </w:t>
      </w:r>
      <w:r>
        <w:fldChar w:fldCharType="begin" w:fldLock="1"/>
      </w:r>
      <w:r w:rsidR="007E1BC2">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Religion","type":"book"},"uris":["http://www.mendeley.com/documents/?uuid=79312fa7-1d0c-4aa3-bbac-325e55430621"]}],"mendeley":{"formattedCitation":"John Calvin, &lt;i&gt;Institutes of the Christian Religion&lt;/i&gt;, Library of (Philadelphia, PA: Westminster Press, 1960).","manualFormatting":"John Calvin, Institutes of the Christian Religion, (Philadelphia, PA: Westminster Press, 1960), II.15.6n15.","plainTextFormattedCitation":"John Calvin, Institutes of the Christian Religion, Library of (Philadelphia, PA: Westminster Press, 1960).","previouslyFormattedCitation":"John Calvin, &lt;i&gt;Institutes of the Christian Religion&lt;/i&gt;, Library of (Philadelphia, PA: Westminster Press, 1960)."},"properties":{"noteIndex":16},"schema":"https://github.com/citation-style-language/schema/raw/master/csl-citation.json"}</w:instrText>
      </w:r>
      <w:r>
        <w:fldChar w:fldCharType="separate"/>
      </w:r>
      <w:r w:rsidRPr="00C764EF">
        <w:rPr>
          <w:noProof/>
        </w:rPr>
        <w:t xml:space="preserve">John Calvin, </w:t>
      </w:r>
      <w:r w:rsidRPr="00C764EF">
        <w:rPr>
          <w:i/>
          <w:noProof/>
        </w:rPr>
        <w:t>Institutes of the Christian Religion</w:t>
      </w:r>
      <w:r w:rsidRPr="00C764EF">
        <w:rPr>
          <w:noProof/>
        </w:rPr>
        <w:t>, (Philadelphia, PA: Westminster Press, 1960)</w:t>
      </w:r>
      <w:r>
        <w:rPr>
          <w:noProof/>
        </w:rPr>
        <w:t>, II.15.6n15</w:t>
      </w:r>
      <w:r w:rsidRPr="00C764EF">
        <w:rPr>
          <w:noProof/>
        </w:rPr>
        <w:t>.</w:t>
      </w:r>
      <w:r>
        <w:fldChar w:fldCharType="end"/>
      </w:r>
    </w:p>
  </w:footnote>
  <w:footnote w:id="17">
    <w:p w14:paraId="5765E0E1" w14:textId="29E32338" w:rsidR="00E42703" w:rsidRDefault="00E42703" w:rsidP="006C2A6C">
      <w:pPr>
        <w:pStyle w:val="FootnoteText"/>
      </w:pPr>
      <w:r>
        <w:rPr>
          <w:rStyle w:val="FootnoteReference"/>
        </w:rPr>
        <w:footnoteRef/>
      </w:r>
      <w:r>
        <w:t xml:space="preserve"> </w:t>
      </w:r>
      <w:r>
        <w:fldChar w:fldCharType="begin" w:fldLock="1"/>
      </w:r>
      <w:r w:rsidR="00180941">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Religion","type":"book"},"uris":["http://www.mendeley.com/documents/?uuid=79312fa7-1d0c-4aa3-bbac-325e55430621"]}],"mendeley":{"formattedCitation":"Ibid.","manualFormatting":"John Calvin, Institutes of the Christian Religion, II.15.4.","plainTextFormattedCitation":"Ibid.","previouslyFormattedCitation":"Ibid."},"properties":{"noteIndex":17},"schema":"https://github.com/citation-style-language/schema/raw/master/csl-citation.json"}</w:instrText>
      </w:r>
      <w:r>
        <w:fldChar w:fldCharType="separate"/>
      </w:r>
      <w:r w:rsidRPr="008E6F12">
        <w:rPr>
          <w:noProof/>
        </w:rPr>
        <w:t xml:space="preserve">John Calvin, </w:t>
      </w:r>
      <w:r w:rsidRPr="008E6F12">
        <w:rPr>
          <w:i/>
          <w:noProof/>
        </w:rPr>
        <w:t>Institutes of the Christian Religion</w:t>
      </w:r>
      <w:r w:rsidRPr="008E6F12">
        <w:rPr>
          <w:noProof/>
        </w:rPr>
        <w:t>,</w:t>
      </w:r>
      <w:r>
        <w:rPr>
          <w:noProof/>
        </w:rPr>
        <w:t xml:space="preserve"> II.15.4</w:t>
      </w:r>
      <w:r w:rsidRPr="008E6F12">
        <w:rPr>
          <w:noProof/>
        </w:rPr>
        <w:t>.</w:t>
      </w:r>
      <w:r>
        <w:fldChar w:fldCharType="end"/>
      </w:r>
    </w:p>
  </w:footnote>
  <w:footnote w:id="18">
    <w:p w14:paraId="7065A445" w14:textId="3413D417" w:rsidR="00E42703" w:rsidRDefault="00E42703" w:rsidP="002732EE">
      <w:pPr>
        <w:pStyle w:val="FootnoteText"/>
      </w:pPr>
      <w:r>
        <w:rPr>
          <w:rStyle w:val="FootnoteReference"/>
        </w:rPr>
        <w:footnoteRef/>
      </w:r>
      <w:r>
        <w:t xml:space="preserve"> </w:t>
      </w:r>
      <w:r>
        <w:fldChar w:fldCharType="begin" w:fldLock="1"/>
      </w:r>
      <w:r>
        <w:instrText>ADDIN CSL_CITATION {"citationItems":[{"id":"ITEM-1","itemData":{"author":[{"dropping-particle":"","family":"Wendel","given":"Francois","non-dropping-particle":"","parse-names":false,"suffix":""}],"id":"ITEM-1","issued":{"date-parts":[["1963"]]},"publisher":"Harper and Row","publisher-place":"New York","title":"Calvin: The Origins and Development of His Religious Thought","type":"book"},"uris":["http://www.mendeley.com/documents/?uuid=5169a832-5da0-4485-a0fd-981bb6def4d9"]}],"mendeley":{"formattedCitation":"Francois Wendel, &lt;i&gt;Calvin: The Origins and Development of His Religious Thought&lt;/i&gt; (New York: Harper and Row, 1963).","manualFormatting":"Francois Wendel, Calvin: The Origins and Development of His Religious Thought (New York: Harper and Row, 1963), 77.","plainTextFormattedCitation":"Francois Wendel, Calvin: The Origins and Development of His Religious Thought (New York: Harper and Row, 1963).","previouslyFormattedCitation":"Francois Wendel, &lt;i&gt;Calvin: The Origins and Development of His Religious Thought&lt;/i&gt; (New York: Harper and Row, 1963)."},"properties":{"noteIndex":18},"schema":"https://github.com/citation-style-language/schema/raw/master/csl-citation.json"}</w:instrText>
      </w:r>
      <w:r>
        <w:fldChar w:fldCharType="separate"/>
      </w:r>
      <w:r w:rsidRPr="003B7279">
        <w:rPr>
          <w:noProof/>
        </w:rPr>
        <w:t xml:space="preserve">Francois Wendel, </w:t>
      </w:r>
      <w:r w:rsidRPr="003B7279">
        <w:rPr>
          <w:i/>
          <w:noProof/>
        </w:rPr>
        <w:t>Calvin: The Origins and Development of His Religious Thought</w:t>
      </w:r>
      <w:r w:rsidRPr="003B7279">
        <w:rPr>
          <w:noProof/>
        </w:rPr>
        <w:t xml:space="preserve"> (New York: Harper and Row, 1963)</w:t>
      </w:r>
      <w:r>
        <w:rPr>
          <w:noProof/>
        </w:rPr>
        <w:t>, 77</w:t>
      </w:r>
      <w:r w:rsidRPr="003B7279">
        <w:rPr>
          <w:noProof/>
        </w:rPr>
        <w:t>.</w:t>
      </w:r>
      <w:r>
        <w:fldChar w:fldCharType="end"/>
      </w:r>
    </w:p>
  </w:footnote>
  <w:footnote w:id="19">
    <w:p w14:paraId="4D836E6A" w14:textId="49675ED5" w:rsidR="00E42703" w:rsidRDefault="00E42703">
      <w:pPr>
        <w:pStyle w:val="FootnoteText"/>
      </w:pPr>
      <w:r>
        <w:rPr>
          <w:rStyle w:val="FootnoteReference"/>
        </w:rPr>
        <w:footnoteRef/>
      </w:r>
      <w:r>
        <w:t xml:space="preserve"> </w:t>
      </w:r>
      <w:r>
        <w:fldChar w:fldCharType="begin" w:fldLock="1"/>
      </w:r>
      <w:r w:rsidR="00180941">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Religion","type":"book"},"uris":["http://www.mendeley.com/documents/?uuid=79312fa7-1d0c-4aa3-bbac-325e55430621"]}],"mendeley":{"formattedCitation":"Calvin, &lt;i&gt;Institutes of the Christian Religion&lt;/i&gt;.","manualFormatting":"Calvin, Institutes of the Christian Religion, IV.11.6.","plainTextFormattedCitation":"Calvin, Institutes of the Christian Religion.","previouslyFormattedCitation":"Calvin, &lt;i&gt;Institutes of the Christian Religion&lt;/i&gt;."},"properties":{"noteIndex":19},"schema":"https://github.com/citation-style-language/schema/raw/master/csl-citation.json"}</w:instrText>
      </w:r>
      <w:r>
        <w:fldChar w:fldCharType="separate"/>
      </w:r>
      <w:r w:rsidRPr="00F43C8B">
        <w:rPr>
          <w:noProof/>
        </w:rPr>
        <w:t xml:space="preserve">Calvin, </w:t>
      </w:r>
      <w:r w:rsidRPr="00F43C8B">
        <w:rPr>
          <w:i/>
          <w:noProof/>
        </w:rPr>
        <w:t>Institutes of the Christian Religion</w:t>
      </w:r>
      <w:r>
        <w:rPr>
          <w:i/>
          <w:noProof/>
        </w:rPr>
        <w:t xml:space="preserve">, </w:t>
      </w:r>
      <w:r>
        <w:rPr>
          <w:noProof/>
        </w:rPr>
        <w:t>IV.11.6</w:t>
      </w:r>
      <w:r w:rsidRPr="00F43C8B">
        <w:rPr>
          <w:noProof/>
        </w:rPr>
        <w:t>.</w:t>
      </w:r>
      <w:r>
        <w:fldChar w:fldCharType="end"/>
      </w:r>
    </w:p>
  </w:footnote>
  <w:footnote w:id="20">
    <w:p w14:paraId="0AB4C22F" w14:textId="13EE1FE2" w:rsidR="00E42703" w:rsidRDefault="00E42703">
      <w:pPr>
        <w:pStyle w:val="FootnoteText"/>
      </w:pPr>
      <w:r>
        <w:rPr>
          <w:rStyle w:val="FootnoteReference"/>
        </w:rPr>
        <w:footnoteRef/>
      </w:r>
      <w:r>
        <w:t xml:space="preserve"> </w:t>
      </w:r>
      <w:r>
        <w:fldChar w:fldCharType="begin" w:fldLock="1"/>
      </w:r>
      <w:r w:rsidR="00180941">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Religion","type":"book"},"uris":["http://www.mendeley.com/documents/?uuid=79312fa7-1d0c-4aa3-bbac-325e55430621"]}],"mendeley":{"formattedCitation":"Ibid.","manualFormatting":"Ibid., IV.5.2.","plainTextFormattedCitation":"Ibid.","previouslyFormattedCitation":"Ibid."},"properties":{"noteIndex":20},"schema":"https://github.com/citation-style-language/schema/raw/master/csl-citation.json"}</w:instrText>
      </w:r>
      <w:r>
        <w:fldChar w:fldCharType="separate"/>
      </w:r>
      <w:r>
        <w:rPr>
          <w:noProof/>
        </w:rPr>
        <w:t>Ibid.</w:t>
      </w:r>
      <w:r>
        <w:rPr>
          <w:i/>
          <w:noProof/>
        </w:rPr>
        <w:t xml:space="preserve">, </w:t>
      </w:r>
      <w:r>
        <w:rPr>
          <w:noProof/>
        </w:rPr>
        <w:t>IV.5.2.</w:t>
      </w:r>
      <w:r>
        <w:fldChar w:fldCharType="end"/>
      </w:r>
    </w:p>
  </w:footnote>
  <w:footnote w:id="21">
    <w:p w14:paraId="08BC6ADC" w14:textId="69862390" w:rsidR="00E42703" w:rsidRDefault="00E42703">
      <w:pPr>
        <w:pStyle w:val="FootnoteText"/>
      </w:pPr>
      <w:r>
        <w:rPr>
          <w:rStyle w:val="FootnoteReference"/>
        </w:rPr>
        <w:footnoteRef/>
      </w:r>
      <w:r>
        <w:t xml:space="preserve"> </w:t>
      </w:r>
      <w:r>
        <w:fldChar w:fldCharType="begin" w:fldLock="1"/>
      </w:r>
      <w:r w:rsidR="00180941">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Ibid.","plainTextFormattedCitation":"Ibid.","previouslyFormattedCitation":"Ibid."},"properties":{"noteIndex":21},"schema":"https://github.com/citation-style-language/schema/raw/master/csl-citation.json"}</w:instrText>
      </w:r>
      <w:r>
        <w:fldChar w:fldCharType="separate"/>
      </w:r>
      <w:r w:rsidRPr="0039499B">
        <w:rPr>
          <w:noProof/>
        </w:rPr>
        <w:t>Ibid.</w:t>
      </w:r>
      <w:r>
        <w:fldChar w:fldCharType="end"/>
      </w:r>
      <w:r>
        <w:t>, IV.8.13.</w:t>
      </w:r>
    </w:p>
  </w:footnote>
  <w:footnote w:id="22">
    <w:p w14:paraId="57D26E9A" w14:textId="6CDF04F0" w:rsidR="00E42703" w:rsidRDefault="00E42703">
      <w:pPr>
        <w:pStyle w:val="FootnoteText"/>
      </w:pPr>
      <w:r>
        <w:rPr>
          <w:rStyle w:val="FootnoteReference"/>
        </w:rPr>
        <w:footnoteRef/>
      </w:r>
      <w:r>
        <w:t xml:space="preserve"> </w:t>
      </w:r>
      <w:r>
        <w:fldChar w:fldCharType="begin" w:fldLock="1"/>
      </w:r>
      <w:r w:rsidR="00180941">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Ibid.","plainTextFormattedCitation":"Ibid.","previouslyFormattedCitation":"Ibid."},"properties":{"noteIndex":22},"schema":"https://github.com/citation-style-language/schema/raw/master/csl-citation.json"}</w:instrText>
      </w:r>
      <w:r>
        <w:fldChar w:fldCharType="separate"/>
      </w:r>
      <w:r w:rsidRPr="0039499B">
        <w:rPr>
          <w:noProof/>
        </w:rPr>
        <w:t>Ibid.</w:t>
      </w:r>
      <w:r>
        <w:fldChar w:fldCharType="end"/>
      </w:r>
      <w:r>
        <w:t>, IV.11.12.</w:t>
      </w:r>
    </w:p>
  </w:footnote>
  <w:footnote w:id="23">
    <w:p w14:paraId="2949ED96" w14:textId="416E4320" w:rsidR="00E42703" w:rsidRPr="0039499B" w:rsidRDefault="00E42703">
      <w:pPr>
        <w:pStyle w:val="FootnoteText"/>
        <w:rPr>
          <w:color w:val="C00000"/>
        </w:rPr>
      </w:pPr>
      <w:r>
        <w:rPr>
          <w:rStyle w:val="FootnoteReference"/>
        </w:rPr>
        <w:footnoteRef/>
      </w:r>
      <w:r>
        <w:t xml:space="preserve"> </w:t>
      </w:r>
      <w:r>
        <w:fldChar w:fldCharType="begin" w:fldLock="1"/>
      </w:r>
      <w:r>
        <w:instrText>ADDIN CSL_CITATION {"citationItems":[{"id":"ITEM-1","itemData":{"author":[{"dropping-particle":"","family":"O'Malley","given":"John W.","non-dropping-particle":"","parse-names":false,"suffix":""}],"id":"ITEM-1","issued":{"date-parts":[["2010"]]},"publisher":"Belknap/Harvard University Press","publisher-place":"Cambridge, MA","title":"What Happened at Vatican II","type":"book"},"uris":["http://www.mendeley.com/documents/?uuid=2c988ad6-49e4-4644-b695-6fb6087e8577"]}],"mendeley":{"formattedCitation":"John W. O’Malley, &lt;i&gt;What Happened at Vatican II&lt;/i&gt; (Cambridge, MA: Belknap/Harvard University Press, 2010).","plainTextFormattedCitation":"John W. O’Malley, What Happened at Vatican II (Cambridge, MA: Belknap/Harvard University Press, 2010).","previouslyFormattedCitation":"John W. O’Malley, &lt;i&gt;What Happened at Vatican II&lt;/i&gt; (Cambridge, MA: Belknap/Harvard University Press, 2010)."},"properties":{"noteIndex":23},"schema":"https://github.com/citation-style-language/schema/raw/master/csl-citation.json"}</w:instrText>
      </w:r>
      <w:r>
        <w:fldChar w:fldCharType="separate"/>
      </w:r>
      <w:r w:rsidRPr="00392949">
        <w:rPr>
          <w:noProof/>
        </w:rPr>
        <w:t xml:space="preserve">John W. O’Malley, </w:t>
      </w:r>
      <w:r w:rsidRPr="00392949">
        <w:rPr>
          <w:i/>
          <w:noProof/>
        </w:rPr>
        <w:t>What Happened at Vatican II</w:t>
      </w:r>
      <w:r w:rsidRPr="00392949">
        <w:rPr>
          <w:noProof/>
        </w:rPr>
        <w:t xml:space="preserve"> (Cambridge, MA: Belknap/Harvard University Press, 2010).</w:t>
      </w:r>
      <w:r>
        <w:fldChar w:fldCharType="end"/>
      </w:r>
    </w:p>
  </w:footnote>
  <w:footnote w:id="24">
    <w:p w14:paraId="5FF0F705" w14:textId="59438191" w:rsidR="00E42703" w:rsidRDefault="00E42703">
      <w:pPr>
        <w:pStyle w:val="FootnoteText"/>
      </w:pPr>
      <w:r>
        <w:rPr>
          <w:rStyle w:val="FootnoteReference"/>
        </w:rPr>
        <w:footnoteRef/>
      </w:r>
      <w:r>
        <w:t xml:space="preserve"> For a Reformed/Calvinist interpretation of this verse, see Chapter Seven.</w:t>
      </w:r>
    </w:p>
  </w:footnote>
  <w:footnote w:id="25">
    <w:p w14:paraId="75D04D4B" w14:textId="300A894E" w:rsidR="00E42703" w:rsidRDefault="00E42703" w:rsidP="00DD2A7C">
      <w:pPr>
        <w:pStyle w:val="FootnoteText"/>
      </w:pPr>
      <w:r>
        <w:rPr>
          <w:rStyle w:val="FootnoteReference"/>
        </w:rPr>
        <w:footnoteRef/>
      </w:r>
      <w:r>
        <w:t xml:space="preserve"> </w:t>
      </w:r>
      <w:r w:rsidR="00BA50A7">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gentium","type":"chapter"},"uris":["http://www.mendeley.com/documents/?uuid=9a9e0d23-35ec-4514-8c7d-7c51390ab774"]}],"mendeley":{"formattedCitation":"Flannery, “Lumen Gentium.”","manualFormatting":"Flannery, “Lumen Gentium,”","plainTextFormattedCitation":"Flannery, “Lumen Gentium.”","previouslyFormattedCitation":"Flannery, “Lumen Gentium.”"},"properties":{"noteIndex":25},"schema":"https://github.com/citation-style-language/schema/raw/master/csl-citation.json"}</w:instrText>
      </w:r>
      <w:r w:rsidR="00BA50A7">
        <w:fldChar w:fldCharType="separate"/>
      </w:r>
      <w:r w:rsidR="00BA50A7" w:rsidRPr="00BA50A7">
        <w:rPr>
          <w:noProof/>
        </w:rPr>
        <w:t>Flannery, “Lumen Gentium</w:t>
      </w:r>
      <w:r w:rsidR="00BA50A7">
        <w:rPr>
          <w:noProof/>
        </w:rPr>
        <w:t>,</w:t>
      </w:r>
      <w:r w:rsidR="00BA50A7" w:rsidRPr="00BA50A7">
        <w:rPr>
          <w:noProof/>
        </w:rPr>
        <w:t>”</w:t>
      </w:r>
      <w:r w:rsidR="00BA50A7">
        <w:fldChar w:fldCharType="end"/>
      </w:r>
      <w:r w:rsidR="00BA50A7">
        <w:t xml:space="preserve"> 18.</w:t>
      </w:r>
    </w:p>
  </w:footnote>
  <w:footnote w:id="26">
    <w:p w14:paraId="7FD355A0" w14:textId="38E71CFB" w:rsidR="00E42703" w:rsidRDefault="00E4270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gentium","type":"chapter"},"uris":["http://www.mendeley.com/documents/?uuid=9a9e0d23-35ec-4514-8c7d-7c51390ab774"]}],"mendeley":{"formattedCitation":"Ibid.","manualFormatting":"Ibid, 32.","plainTextFormattedCitation":"Ibid.","previouslyFormattedCitation":"Ibid."},"properties":{"noteIndex":26},"schema":"https://github.com/citation-style-language/schema/raw/master/csl-citation.json"}</w:instrText>
      </w:r>
      <w:r>
        <w:fldChar w:fldCharType="separate"/>
      </w:r>
      <w:r w:rsidRPr="002F3B8A">
        <w:rPr>
          <w:noProof/>
        </w:rPr>
        <w:t>Ibid</w:t>
      </w:r>
      <w:r>
        <w:rPr>
          <w:noProof/>
        </w:rPr>
        <w:t>, 32</w:t>
      </w:r>
      <w:r w:rsidRPr="002F3B8A">
        <w:rPr>
          <w:noProof/>
        </w:rPr>
        <w:t>.</w:t>
      </w:r>
      <w:r>
        <w:fldChar w:fldCharType="end"/>
      </w:r>
    </w:p>
  </w:footnote>
  <w:footnote w:id="27">
    <w:p w14:paraId="013B3372" w14:textId="25633A0B" w:rsidR="00E42703" w:rsidRDefault="00E4270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27},"schema":"https://github.com/citation-style-language/schema/raw/master/csl-citation.json"}</w:instrText>
      </w:r>
      <w:r>
        <w:fldChar w:fldCharType="separate"/>
      </w:r>
      <w:r w:rsidRPr="001F76A7">
        <w:rPr>
          <w:noProof/>
        </w:rPr>
        <w:t>Ibid.</w:t>
      </w:r>
      <w:r>
        <w:fldChar w:fldCharType="end"/>
      </w:r>
      <w:r>
        <w:t>, 10.</w:t>
      </w:r>
    </w:p>
  </w:footnote>
  <w:footnote w:id="28">
    <w:p w14:paraId="6AA5BC4C" w14:textId="1B51B818" w:rsidR="00E42703" w:rsidRDefault="00E42703" w:rsidP="001F76A7">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gentium","type":"chapter"},"uris":["http://www.mendeley.com/documents/?uuid=9a9e0d23-35ec-4514-8c7d-7c51390ab774"]}],"mendeley":{"formattedCitation":"Ibid.","manualFormatting":"Ibid., 39.","plainTextFormattedCitation":"Ibid.","previouslyFormattedCitation":"Ibid."},"properties":{"noteIndex":28},"schema":"https://github.com/citation-style-language/schema/raw/master/csl-citation.json"}</w:instrText>
      </w:r>
      <w:r>
        <w:fldChar w:fldCharType="separate"/>
      </w:r>
      <w:r>
        <w:rPr>
          <w:noProof/>
        </w:rPr>
        <w:t>Ibid., 39</w:t>
      </w:r>
      <w:r w:rsidRPr="008B511C">
        <w:rPr>
          <w:noProof/>
        </w:rPr>
        <w:t>.</w:t>
      </w:r>
      <w:r>
        <w:fldChar w:fldCharType="end"/>
      </w:r>
      <w:r>
        <w:t xml:space="preserve"> </w:t>
      </w:r>
    </w:p>
  </w:footnote>
  <w:footnote w:id="29">
    <w:p w14:paraId="30280E28" w14:textId="5E892442" w:rsidR="00E42703" w:rsidRDefault="00E42703" w:rsidP="00CB5B7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29},"schema":"https://github.com/citation-style-language/schema/raw/master/csl-citation.json"}</w:instrText>
      </w:r>
      <w:r>
        <w:fldChar w:fldCharType="separate"/>
      </w:r>
      <w:r w:rsidRPr="00254D93">
        <w:rPr>
          <w:noProof/>
        </w:rPr>
        <w:t>Ibid.</w:t>
      </w:r>
      <w:r>
        <w:fldChar w:fldCharType="end"/>
      </w:r>
      <w:r>
        <w:t>, 22.</w:t>
      </w:r>
    </w:p>
  </w:footnote>
  <w:footnote w:id="30">
    <w:p w14:paraId="0BB3E4EF" w14:textId="6ABE0AD0" w:rsidR="00E42703" w:rsidRDefault="00E42703" w:rsidP="00CB5B7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30},"schema":"https://github.com/citation-style-language/schema/raw/master/csl-citation.json"}</w:instrText>
      </w:r>
      <w:r>
        <w:fldChar w:fldCharType="separate"/>
      </w:r>
      <w:r w:rsidRPr="00254D93">
        <w:rPr>
          <w:noProof/>
        </w:rPr>
        <w:t>Ibid.</w:t>
      </w:r>
      <w:r>
        <w:fldChar w:fldCharType="end"/>
      </w:r>
      <w:r>
        <w:t>, 23.</w:t>
      </w:r>
    </w:p>
  </w:footnote>
  <w:footnote w:id="31">
    <w:p w14:paraId="0F62547B" w14:textId="02D33EAA" w:rsidR="00E42703" w:rsidRDefault="00E42703" w:rsidP="00CB5B7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31},"schema":"https://github.com/citation-style-language/schema/raw/master/csl-citation.json"}</w:instrText>
      </w:r>
      <w:r>
        <w:fldChar w:fldCharType="separate"/>
      </w:r>
      <w:r w:rsidRPr="00254D93">
        <w:rPr>
          <w:noProof/>
        </w:rPr>
        <w:t>Ibid.</w:t>
      </w:r>
      <w:r>
        <w:fldChar w:fldCharType="end"/>
      </w:r>
      <w:r>
        <w:t>, 32.</w:t>
      </w:r>
    </w:p>
  </w:footnote>
  <w:footnote w:id="32">
    <w:p w14:paraId="167E5725" w14:textId="1ABAD3D1" w:rsidR="00E42703" w:rsidRDefault="00E42703" w:rsidP="00CB5B7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32},"schema":"https://github.com/citation-style-language/schema/raw/master/csl-citation.json"}</w:instrText>
      </w:r>
      <w:r>
        <w:fldChar w:fldCharType="separate"/>
      </w:r>
      <w:r w:rsidRPr="00254D93">
        <w:rPr>
          <w:noProof/>
        </w:rPr>
        <w:t>Ibid.</w:t>
      </w:r>
      <w:r>
        <w:fldChar w:fldCharType="end"/>
      </w:r>
      <w:r>
        <w:t>, 12.</w:t>
      </w:r>
    </w:p>
  </w:footnote>
  <w:footnote w:id="33">
    <w:p w14:paraId="50FA1685" w14:textId="2B0C4066" w:rsidR="00E42703" w:rsidRDefault="00E42703" w:rsidP="008E7F17">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language)","id":"ITEM-1","issued":{"date-parts":[["1996"]]},"page":"403-442","publisher":"Costello Publishing Company","publisher-place":"Northport, New York","title":"Apostolicam actuositatem","type":"chapter"},"uris":["http://www.mendeley.com/documents/?uuid=20086f05-506d-4b8f-8e8d-1175adf98150"]}],"mendeley":{"formattedCitation":"Austin Flannery, “Apostolicam Actuositatem,” in &lt;i&gt;The Basic Sixteen Documents: Vatican Council II (A Completely Revised Translation in Inclusive Language)&lt;/i&gt; (Northport, New York: Costello Publishing Company, 1996), 403–42.","manualFormatting":"Austin O.P. Flannery, “Apostolicam Actuositatem,” in The Basic Sixteen Documents: Vatican Council II (A Completely Revised Translation in Inclusive Language) (Northport, New York: Costello Publishing Company, 1996), Paragraph ","plainTextFormattedCitation":"Austin Flannery, “Apostolicam Actuositatem,” in The Basic Sixteen Documents: Vatican Council II (A Completely Revised Translation in Inclusive Language) (Northport, New York: Costello Publishing Company, 1996), 403–42.","previouslyFormattedCitation":"Austin Flannery, “Apostolicam Actuositatem,” in &lt;i&gt;The Basic Sixteen Documents: Vatican Council II (A Completely Revised Translation in Inclusive Language)&lt;/i&gt; (Northport, New York: Costello Publishing Company, 1996), 403–42."},"properties":{"noteIndex":33},"schema":"https://github.com/citation-style-language/schema/raw/master/csl-citation.json"}</w:instrText>
      </w:r>
      <w:r>
        <w:fldChar w:fldCharType="separate"/>
      </w:r>
      <w:r w:rsidRPr="00F40FBB">
        <w:rPr>
          <w:noProof/>
        </w:rPr>
        <w:t xml:space="preserve">Austin O.P. Flannery, “Apostolicam </w:t>
      </w:r>
      <w:r>
        <w:rPr>
          <w:noProof/>
        </w:rPr>
        <w:t>Actuositatem</w:t>
      </w:r>
      <w:r w:rsidRPr="00F40FBB">
        <w:rPr>
          <w:noProof/>
        </w:rPr>
        <w:t xml:space="preserve">,” in </w:t>
      </w:r>
      <w:r w:rsidRPr="00F40FBB">
        <w:rPr>
          <w:i/>
          <w:noProof/>
        </w:rPr>
        <w:t>The Basic Sixteen Documents: Vatican Council II (A Completely Revised Translation in Inclusive Language)</w:t>
      </w:r>
      <w:r w:rsidRPr="00F40FBB">
        <w:rPr>
          <w:noProof/>
        </w:rPr>
        <w:t xml:space="preserve"> (Northport, New York: Costello Publishing Company, 1996), </w:t>
      </w:r>
      <w:r>
        <w:rPr>
          <w:noProof/>
        </w:rPr>
        <w:t xml:space="preserve">Paragraph </w:t>
      </w:r>
      <w:r>
        <w:fldChar w:fldCharType="end"/>
      </w:r>
      <w:r>
        <w:t xml:space="preserve"> 2.</w:t>
      </w:r>
    </w:p>
  </w:footnote>
  <w:footnote w:id="34">
    <w:p w14:paraId="0CA7E40C" w14:textId="40EEAA7F" w:rsidR="00E42703" w:rsidRDefault="00E42703" w:rsidP="008E7F17">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language)","id":"ITEM-1","issued":{"date-parts":[["1996"]]},"page":"403-442","publisher":"Costello Publishing Company","publisher-place":"Northport, New York","title":"Apostolicam actuositatem","type":"chapter"},"uris":["http://www.mendeley.com/documents/?uuid=20086f05-506d-4b8f-8e8d-1175adf98150"]}],"mendeley":{"formattedCitation":"Ibid.","plainTextFormattedCitation":"Ibid.","previouslyFormattedCitation":"Ibid."},"properties":{"noteIndex":34},"schema":"https://github.com/citation-style-language/schema/raw/master/csl-citation.json"}</w:instrText>
      </w:r>
      <w:r>
        <w:fldChar w:fldCharType="separate"/>
      </w:r>
      <w:r w:rsidRPr="0064270D">
        <w:rPr>
          <w:noProof/>
        </w:rPr>
        <w:t>Ibid.</w:t>
      </w:r>
      <w:r>
        <w:fldChar w:fldCharType="end"/>
      </w:r>
      <w:r>
        <w:t xml:space="preserve">, 3. </w:t>
      </w:r>
    </w:p>
  </w:footnote>
  <w:footnote w:id="35">
    <w:p w14:paraId="272DF515" w14:textId="2BFBEC1C" w:rsidR="00E42703" w:rsidRDefault="00E42703" w:rsidP="00092F06">
      <w:pPr>
        <w:pStyle w:val="FootnoteText"/>
      </w:pPr>
      <w:r>
        <w:rPr>
          <w:rStyle w:val="FootnoteReference"/>
        </w:rPr>
        <w:footnoteRef/>
      </w:r>
      <w:r w:rsidR="00BA50A7">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gentium","type":"chapter"},"uris":["http://www.mendeley.com/documents/?uuid=9a9e0d23-35ec-4514-8c7d-7c51390ab774"]}],"mendeley":{"formattedCitation":"Flannery, “Lumen Gentium.”","manualFormatting":"Flannery, “Lumen Gentium,”","plainTextFormattedCitation":"Flannery, “Lumen Gentium.”"},"properties":{"noteIndex":0},"schema":"https://github.com/citation-style-language/schema/raw/master/csl-citation.json"}</w:instrText>
      </w:r>
      <w:r w:rsidR="00BA50A7">
        <w:fldChar w:fldCharType="separate"/>
      </w:r>
      <w:r w:rsidR="00BA50A7" w:rsidRPr="00BA50A7">
        <w:rPr>
          <w:noProof/>
        </w:rPr>
        <w:t>Flannery, “Lumen Gentium</w:t>
      </w:r>
      <w:r w:rsidR="00BA50A7">
        <w:rPr>
          <w:noProof/>
        </w:rPr>
        <w:t>,</w:t>
      </w:r>
      <w:r w:rsidR="00BA50A7" w:rsidRPr="00BA50A7">
        <w:rPr>
          <w:noProof/>
        </w:rPr>
        <w:t>”</w:t>
      </w:r>
      <w:r w:rsidR="00BA50A7">
        <w:fldChar w:fldCharType="end"/>
      </w:r>
      <w:r w:rsidR="00BA50A7">
        <w:t xml:space="preserve"> 18</w:t>
      </w:r>
      <w:r>
        <w:t>.</w:t>
      </w:r>
    </w:p>
  </w:footnote>
  <w:footnote w:id="36">
    <w:p w14:paraId="5981554D" w14:textId="6038EA68" w:rsidR="00E42703" w:rsidRDefault="00E4270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36},"schema":"https://github.com/citation-style-language/schema/raw/master/csl-citation.json"}</w:instrText>
      </w:r>
      <w:r>
        <w:fldChar w:fldCharType="separate"/>
      </w:r>
      <w:r w:rsidRPr="00201925">
        <w:rPr>
          <w:noProof/>
        </w:rPr>
        <w:t>Ibid.</w:t>
      </w:r>
      <w:r>
        <w:fldChar w:fldCharType="end"/>
      </w:r>
      <w:r>
        <w:t xml:space="preserve">, 36.  </w:t>
      </w:r>
    </w:p>
  </w:footnote>
  <w:footnote w:id="37">
    <w:p w14:paraId="7094A907" w14:textId="1491E897" w:rsidR="00E42703" w:rsidRDefault="00E42703">
      <w:pPr>
        <w:pStyle w:val="FootnoteText"/>
      </w:pPr>
      <w:r>
        <w:rPr>
          <w:rStyle w:val="FootnoteReference"/>
        </w:rPr>
        <w:footnoteRef/>
      </w:r>
      <w:r>
        <w:t xml:space="preserve"> </w:t>
      </w:r>
      <w:r>
        <w:fldChar w:fldCharType="begin" w:fldLock="1"/>
      </w:r>
      <w:r w:rsidR="00180941">
        <w:instrText>ADDIN CSL_CITATION {"citationItems":[{"id":"ITEM-1","itemData":{"author":[{"dropping-particle":"","family":"Calvin","given":"John","non-dropping-particle":"","parse-names":false,"suffix":""}],"edition":"Library of","id":"ITEM-1","issued":{"date-parts":[["1960"]]},"publisher":"Westminster Press","publisher-place":"Philadelphia, PA","title":"Institutes of the Christian Religion","type":"book"},"uris":["http://www.mendeley.com/documents/?uuid=79312fa7-1d0c-4aa3-bbac-325e55430621"]}],"mendeley":{"formattedCitation":"Calvin, &lt;i&gt;Institutes of the Christian Religion&lt;/i&gt;.","manualFormatting":"Calvin, Institutes of the Christian Religion, II.15.3.","plainTextFormattedCitation":"Calvin, Institutes of the Christian Religion.","previouslyFormattedCitation":"Calvin, &lt;i&gt;Institutes of the Christian Religion&lt;/i&gt;."},"properties":{"noteIndex":37},"schema":"https://github.com/citation-style-language/schema/raw/master/csl-citation.json"}</w:instrText>
      </w:r>
      <w:r>
        <w:fldChar w:fldCharType="separate"/>
      </w:r>
      <w:r w:rsidRPr="00D46AB9">
        <w:rPr>
          <w:noProof/>
        </w:rPr>
        <w:t xml:space="preserve">Calvin, </w:t>
      </w:r>
      <w:r w:rsidRPr="00D46AB9">
        <w:rPr>
          <w:i/>
          <w:noProof/>
        </w:rPr>
        <w:t>Institutes of the Christian Religion</w:t>
      </w:r>
      <w:r>
        <w:rPr>
          <w:i/>
          <w:noProof/>
        </w:rPr>
        <w:t xml:space="preserve">, </w:t>
      </w:r>
      <w:r>
        <w:rPr>
          <w:noProof/>
        </w:rPr>
        <w:t>II.15.3</w:t>
      </w:r>
      <w:r w:rsidRPr="00D46AB9">
        <w:rPr>
          <w:noProof/>
        </w:rPr>
        <w:t>.</w:t>
      </w:r>
      <w:r>
        <w:fldChar w:fldCharType="end"/>
      </w:r>
    </w:p>
  </w:footnote>
  <w:footnote w:id="38">
    <w:p w14:paraId="23A17D49" w14:textId="72CF10C1" w:rsidR="00E42703" w:rsidRDefault="00E42703">
      <w:pPr>
        <w:pStyle w:val="FootnoteText"/>
      </w:pPr>
      <w:r>
        <w:rPr>
          <w:rStyle w:val="FootnoteReference"/>
        </w:rPr>
        <w:footnoteRef/>
      </w:r>
      <w:r>
        <w:t xml:space="preserve"> </w:t>
      </w:r>
      <w:r w:rsidR="00BA50A7">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gentium","type":"chapter"},"uris":["http://www.mendeley.com/documents/?uuid=9a9e0d23-35ec-4514-8c7d-7c51390ab774"]}],"mendeley":{"formattedCitation":"Flannery, “Lumen Gentium.”","manualFormatting":"Flannery, “Lumen Gentium,\" 35.","plainTextFormattedCitation":"Flannery, “Lumen Gentium.”","previouslyFormattedCitation":"Flannery, “Lumen Gentium.”"},"properties":{"noteIndex":38},"schema":"https://github.com/citation-style-language/schema/raw/master/csl-citation.json"}</w:instrText>
      </w:r>
      <w:r w:rsidR="00BA50A7">
        <w:fldChar w:fldCharType="separate"/>
      </w:r>
      <w:r w:rsidR="00BA50A7" w:rsidRPr="00BA50A7">
        <w:rPr>
          <w:noProof/>
        </w:rPr>
        <w:t>Flannery, “Lumen Gentium</w:t>
      </w:r>
      <w:r w:rsidR="00BA50A7">
        <w:rPr>
          <w:noProof/>
        </w:rPr>
        <w:t>," 35</w:t>
      </w:r>
      <w:r w:rsidR="00BA50A7" w:rsidRPr="00BA50A7">
        <w:rPr>
          <w:noProof/>
        </w:rPr>
        <w:t>.</w:t>
      </w:r>
      <w:r w:rsidR="00BA50A7">
        <w:fldChar w:fldCharType="end"/>
      </w:r>
      <w:r w:rsidR="00BA50A7">
        <w:t xml:space="preserve"> </w:t>
      </w:r>
    </w:p>
  </w:footnote>
  <w:footnote w:id="39">
    <w:p w14:paraId="4576CDBE" w14:textId="20DA57DE" w:rsidR="00E42703" w:rsidRDefault="00E42703" w:rsidP="00987288">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Language)","id":"ITEM-1","issued":{"date-parts":[["1996"]]},"page":"1-96","publisher":"Coste","publisher-place":"Northport, New York","title":"Lumen gentium","type":"chapter"},"uris":["http://www.mendeley.com/documents/?uuid=9a9e0d23-35ec-4514-8c7d-7c51390ab774"]}],"mendeley":{"formattedCitation":"Ibid.","plainTextFormattedCitation":"Ibid.","previouslyFormattedCitation":"Ibid."},"properties":{"noteIndex":39},"schema":"https://github.com/citation-style-language/schema/raw/master/csl-citation.json"}</w:instrText>
      </w:r>
      <w:r>
        <w:fldChar w:fldCharType="separate"/>
      </w:r>
      <w:r w:rsidRPr="002A1BFA">
        <w:rPr>
          <w:noProof/>
        </w:rPr>
        <w:t>Ibid.</w:t>
      </w:r>
      <w:r>
        <w:fldChar w:fldCharType="end"/>
      </w:r>
      <w:r>
        <w:t>, 12.</w:t>
      </w:r>
    </w:p>
  </w:footnote>
  <w:footnote w:id="40">
    <w:p w14:paraId="59040C3A" w14:textId="0806323F" w:rsidR="00E42703" w:rsidRDefault="00E42703">
      <w:pPr>
        <w:pStyle w:val="FootnoteText"/>
      </w:pPr>
      <w:r>
        <w:rPr>
          <w:rStyle w:val="FootnoteReference"/>
        </w:rPr>
        <w:footnoteRef/>
      </w:r>
      <w:r>
        <w:t xml:space="preserve"> </w:t>
      </w:r>
      <w:r>
        <w:fldChar w:fldCharType="begin" w:fldLock="1"/>
      </w:r>
      <w:r>
        <w:instrText>ADDIN CSL_CITATION {"citationItems":[{"id":"ITEM-1","itemData":{"URL":"http://www.newadvent.org/fathers/3506.htm","accessed":{"date-parts":[["2018","8","15"]]},"id":"ITEM-1","issued":{"date-parts":[["0"]]},"title":"CHURCH FATHERS: Commonitorium (Vincent of Lerins)","type":"webpage"},"uris":["http://www.mendeley.com/documents/?uuid=2ed25d23-eb05-3fd6-bca9-742e2069d91e"]}],"mendeley":{"formattedCitation":"“CHURCH FATHERS: Commonitorium (Vincent of Lerins),” accessed August 15, 2018, http://www.newadvent.org/fathers/3506.htm.","plainTextFormattedCitation":"“CHURCH FATHERS: Commonitorium (Vincent of Lerins),” accessed August 15, 2018, http://www.newadvent.org/fathers/3506.htm.","previouslyFormattedCitation":"“CHURCH FATHERS: Commonitorium (Vincent of Lerins),” accessed August 15, 2018, http://www.newadvent.org/fathers/3506.htm."},"properties":{"noteIndex":40},"schema":"https://github.com/citation-style-language/schema/raw/master/csl-citation.json"}</w:instrText>
      </w:r>
      <w:r>
        <w:fldChar w:fldCharType="separate"/>
      </w:r>
      <w:r w:rsidRPr="00216D8D">
        <w:rPr>
          <w:noProof/>
        </w:rPr>
        <w:t>“CHURCH FATHERS: Commonitorium (Vincent of Lerins),” accessed August 15, 2018, http://www.newadvent.org/fathers/3506.htm.</w:t>
      </w:r>
      <w:r>
        <w:fldChar w:fldCharType="end"/>
      </w:r>
    </w:p>
  </w:footnote>
  <w:footnote w:id="41">
    <w:p w14:paraId="1DB51BCB" w14:textId="5A2C715C" w:rsidR="00E42703" w:rsidRDefault="00E4270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language)","id":"ITEM-1","issued":{"date-parts":[["1996"]]},"page":"403-442","publisher":"Costello Publishing Company","publisher-place":"Northport, New York","title":"Apostolicam actuositatem","type":"chapter"},"uris":["http://www.mendeley.com/documents/?uuid=20086f05-506d-4b8f-8e8d-1175adf98150"]}],"mendeley":{"formattedCitation":"Flannery, “Apostolicam Actuositatem.”","manualFormatting":"Flannery, “Apostolicam Actuositatem,”","plainTextFormattedCitation":"Flannery, “Apostolicam Actuositatem.”","previouslyFormattedCitation":"Flannery, “Apostolicam Actuositatem.”"},"properties":{"noteIndex":41},"schema":"https://github.com/citation-style-language/schema/raw/master/csl-citation.json"}</w:instrText>
      </w:r>
      <w:r>
        <w:fldChar w:fldCharType="separate"/>
      </w:r>
      <w:r w:rsidRPr="00425C0D">
        <w:rPr>
          <w:noProof/>
        </w:rPr>
        <w:t xml:space="preserve">Flannery, “Apostolicam </w:t>
      </w:r>
      <w:r>
        <w:rPr>
          <w:noProof/>
        </w:rPr>
        <w:t>Actuositatem,</w:t>
      </w:r>
      <w:r w:rsidRPr="00425C0D">
        <w:rPr>
          <w:noProof/>
        </w:rPr>
        <w:t>”</w:t>
      </w:r>
      <w:r>
        <w:fldChar w:fldCharType="end"/>
      </w:r>
      <w:r>
        <w:t xml:space="preserve"> 20; 24.</w:t>
      </w:r>
    </w:p>
  </w:footnote>
  <w:footnote w:id="42">
    <w:p w14:paraId="044401B4" w14:textId="7D9D679D" w:rsidR="00E42703" w:rsidRDefault="00E42703">
      <w:pPr>
        <w:pStyle w:val="FootnoteText"/>
      </w:pPr>
      <w:r>
        <w:rPr>
          <w:rStyle w:val="FootnoteReference"/>
        </w:rPr>
        <w:footnoteRef/>
      </w:r>
      <w:r>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language)","id":"ITEM-1","issued":{"date-parts":[["1996"]]},"page":"403-442","publisher":"Costello Publishing Company","publisher-place":"Northport, New York","title":"Apostolicam actuositatem","type":"chapter"},"uris":["http://www.mendeley.com/documents/?uuid=20086f05-506d-4b8f-8e8d-1175adf98150"]}],"mendeley":{"formattedCitation":"Ibid.","plainTextFormattedCitation":"Ibid.","previouslyFormattedCitation":"Ibid."},"properties":{"noteIndex":42},"schema":"https://github.com/citation-style-language/schema/raw/master/csl-citation.json"}</w:instrText>
      </w:r>
      <w:r>
        <w:fldChar w:fldCharType="separate"/>
      </w:r>
      <w:r w:rsidRPr="007A004A">
        <w:rPr>
          <w:noProof/>
        </w:rPr>
        <w:t>Ibid.</w:t>
      </w:r>
      <w:r>
        <w:fldChar w:fldCharType="end"/>
      </w:r>
      <w:r>
        <w:t>, 14.</w:t>
      </w:r>
    </w:p>
  </w:footnote>
  <w:footnote w:id="43">
    <w:p w14:paraId="620B7D09" w14:textId="58BC54FD" w:rsidR="00E42703" w:rsidRPr="002C656D" w:rsidRDefault="00E42703" w:rsidP="0034000F">
      <w:pPr>
        <w:pStyle w:val="FootnoteText"/>
        <w:rPr>
          <w:color w:val="C00000"/>
        </w:rPr>
      </w:pPr>
      <w:r>
        <w:rPr>
          <w:rStyle w:val="FootnoteReference"/>
        </w:rPr>
        <w:footnoteRef/>
      </w:r>
      <w:r>
        <w:t xml:space="preserve"> </w:t>
      </w:r>
      <w:r>
        <w:fldChar w:fldCharType="begin" w:fldLock="1"/>
      </w:r>
      <w:r w:rsidR="007E1BC2">
        <w:instrText>ADDIN CSL_CITATION {"citationItems":[{"id":"ITEM-1","itemData":{"author":[{"dropping-particle":"","family":"Wendel","given":"Francois","non-dropping-particle":"","parse-names":false,"suffix":""}],"id":"ITEM-1","issued":{"date-parts":[["1963"]]},"publisher":"Harper and Row","publisher-place":"New York","title":"Calvin: The Origins and Development of His Religious Thought","type":"book"},"uris":["http://www.mendeley.com/documents/?uuid=5169a832-5da0-4485-a0fd-981bb6def4d9"]}],"mendeley":{"formattedCitation":"Wendel, &lt;i&gt;Calvin: The Origins and Development of His Religious Thought&lt;/i&gt;.","manualFormatting":"Wendel, Calvin: The Origins and Development of His Religious Thought, 105.","plainTextFormattedCitation":"Wendel, Calvin: The Origins and Development of His Religious Thought.","previouslyFormattedCitation":"Wendel, &lt;i&gt;Calvin: The Origins and Development of His Religious Thought&lt;/i&gt;."},"properties":{"noteIndex":43},"schema":"https://github.com/citation-style-language/schema/raw/master/csl-citation.json"}</w:instrText>
      </w:r>
      <w:r>
        <w:fldChar w:fldCharType="separate"/>
      </w:r>
      <w:r w:rsidRPr="00DA6624">
        <w:rPr>
          <w:noProof/>
        </w:rPr>
        <w:t xml:space="preserve">Wendel, </w:t>
      </w:r>
      <w:r w:rsidRPr="00DA6624">
        <w:rPr>
          <w:i/>
          <w:noProof/>
        </w:rPr>
        <w:t>Calvin: The Origins and Development of His Religious Thought</w:t>
      </w:r>
      <w:r w:rsidR="00F82F0A">
        <w:rPr>
          <w:i/>
          <w:noProof/>
        </w:rPr>
        <w:t xml:space="preserve">, </w:t>
      </w:r>
      <w:r w:rsidR="00F82F0A">
        <w:rPr>
          <w:noProof/>
        </w:rPr>
        <w:t>105</w:t>
      </w:r>
      <w:r w:rsidRPr="00DA6624">
        <w:rPr>
          <w:noProof/>
        </w:rPr>
        <w:t>.</w:t>
      </w:r>
      <w:r>
        <w:fldChar w:fldCharType="end"/>
      </w:r>
      <w:r>
        <w:t xml:space="preserve"> </w:t>
      </w:r>
    </w:p>
  </w:footnote>
  <w:footnote w:id="44">
    <w:p w14:paraId="4682CB23" w14:textId="38F8E7CD" w:rsidR="00E42703" w:rsidRPr="00F43C8B" w:rsidRDefault="00E42703" w:rsidP="00CE0E2F">
      <w:pPr>
        <w:pStyle w:val="FootnoteText"/>
        <w:rPr>
          <w:color w:val="FF0000"/>
        </w:rPr>
      </w:pPr>
      <w:r>
        <w:rPr>
          <w:rStyle w:val="FootnoteReference"/>
        </w:rPr>
        <w:footnoteRef/>
      </w:r>
      <w:r>
        <w:t xml:space="preserve"> </w:t>
      </w:r>
      <w:r w:rsidR="007E1BC2">
        <w:fldChar w:fldCharType="begin" w:fldLock="1"/>
      </w:r>
      <w:r w:rsidR="00EF2FCC">
        <w:instrText>ADDIN CSL_CITATION {"citationItems":[{"id":"ITEM-1","itemData":{"author":[{"dropping-particle":"","family":"Rourke","given":"Thomas R.","non-dropping-particle":"","parse-names":false,"suffix":""}],"id":"ITEM-1","issued":{"date-parts":[["2016"]]},"publisher":"Rowman &amp; Littlefield","publisher-place":"Lanham, Maryland","title":"The roots of Pope Francis' social and political thought: From Argentina to the Vatican","type":"book"},"uris":["http://www.mendeley.com/documents/?uuid=c0e921e1-095b-4e03-a88a-add9f10c95a0"]}],"mendeley":{"formattedCitation":"Thomas R. Rourke, &lt;i&gt;The Roots of Pope Francis’ Social and Political Thought: From Argentina to the Vatican&lt;/i&gt; (Lanham, Maryland: Rowman &amp; Littlefield, 2016).","manualFormatting":"Thomas R. Rourke, The Roots of Pope Francis’ Social and Political Thought: From Argentina to the Vatican (Lanham, Maryland: Rowman &amp; Littlefield, 2016), 95.","plainTextFormattedCitation":"Thomas R. Rourke, The Roots of Pope Francis’ Social and Political Thought: From Argentina to the Vatican (Lanham, Maryland: Rowman &amp; Littlefield, 2016).","previouslyFormattedCitation":"Thomas R. Rourke, &lt;i&gt;The Roots of Pope Francis’ Social and Political Thought: From Argentina to the Vatican&lt;/i&gt; (Lanham, Maryland: Rowman &amp; Littlefield, 2016)."},"properties":{"noteIndex":44},"schema":"https://github.com/citation-style-language/schema/raw/master/csl-citation.json"}</w:instrText>
      </w:r>
      <w:r w:rsidR="007E1BC2">
        <w:fldChar w:fldCharType="separate"/>
      </w:r>
      <w:r w:rsidR="007E1BC2" w:rsidRPr="007E1BC2">
        <w:rPr>
          <w:noProof/>
        </w:rPr>
        <w:t xml:space="preserve">Thomas R. Rourke, </w:t>
      </w:r>
      <w:r w:rsidR="007E1BC2" w:rsidRPr="007E1BC2">
        <w:rPr>
          <w:i/>
          <w:noProof/>
        </w:rPr>
        <w:t>The Roots of Pope Francis’ Social and Political Thought: From Argentina to the Vatican</w:t>
      </w:r>
      <w:r w:rsidR="007E1BC2" w:rsidRPr="007E1BC2">
        <w:rPr>
          <w:noProof/>
        </w:rPr>
        <w:t xml:space="preserve"> (Lanham, Maryland: Rowman &amp; Littlefield, 2016)</w:t>
      </w:r>
      <w:r w:rsidR="007E1BC2">
        <w:rPr>
          <w:noProof/>
        </w:rPr>
        <w:t>, 95</w:t>
      </w:r>
      <w:r w:rsidR="007E1BC2" w:rsidRPr="007E1BC2">
        <w:rPr>
          <w:noProof/>
        </w:rPr>
        <w:t>.</w:t>
      </w:r>
      <w:r w:rsidR="007E1BC2">
        <w:fldChar w:fldCharType="end"/>
      </w:r>
    </w:p>
  </w:footnote>
  <w:footnote w:id="45">
    <w:p w14:paraId="5C59D7CB" w14:textId="0DD66612" w:rsidR="00E42703" w:rsidRDefault="00E42703">
      <w:pPr>
        <w:pStyle w:val="FootnoteText"/>
      </w:pPr>
      <w:r>
        <w:rPr>
          <w:rStyle w:val="FootnoteReference"/>
        </w:rPr>
        <w:footnoteRef/>
      </w:r>
      <w:r>
        <w:t xml:space="preserve"> </w:t>
      </w:r>
      <w:r>
        <w:fldChar w:fldCharType="begin" w:fldLock="1"/>
      </w:r>
      <w:r w:rsidR="007E1BC2">
        <w:instrText>ADDIN CSL_CITATION {"citationItems":[{"id":"ITEM-1","itemData":{"author":[{"dropping-particle":"","family":"Neuhaus","given":"R. J.","non-dropping-particle":"","parse-names":false,"suffix":""}],"container-title":"National Review","id":"ITEM-1","issue":"15","issued":{"date-parts":[["1989"]]},"title":"The dangers of dialogue","type":"article-journal","volume":"41"},"uris":["http://www.mendeley.com/documents/?uuid=91556861-1ab4-469d-8d17-52a9991197a4"]}],"mendeley":{"formattedCitation":"R. J. Neuhaus, “The Dangers of Dialogue,” &lt;i&gt;National Review&lt;/i&gt; 41, no. 15 (1989).","plainTextFormattedCitation":"R. J. Neuhaus, “The Dangers of Dialogue,” National Review 41, no. 15 (1989).","previouslyFormattedCitation":"R. J. Neuhaus, “The Dangers of Dialogue,” &lt;i&gt;National Review&lt;/i&gt; 41, no. 15 (1989)."},"properties":{"noteIndex":45},"schema":"https://github.com/citation-style-language/schema/raw/master/csl-citation.json"}</w:instrText>
      </w:r>
      <w:r>
        <w:fldChar w:fldCharType="separate"/>
      </w:r>
      <w:r w:rsidR="00180941" w:rsidRPr="00180941">
        <w:rPr>
          <w:noProof/>
        </w:rPr>
        <w:t xml:space="preserve">R. J. Neuhaus, “The Dangers of Dialogue,” </w:t>
      </w:r>
      <w:r w:rsidR="00180941" w:rsidRPr="00180941">
        <w:rPr>
          <w:i/>
          <w:noProof/>
        </w:rPr>
        <w:t>National Review</w:t>
      </w:r>
      <w:r w:rsidR="00180941" w:rsidRPr="00180941">
        <w:rPr>
          <w:noProof/>
        </w:rPr>
        <w:t xml:space="preserve"> 41, no. 15 (1989).</w:t>
      </w:r>
      <w:r>
        <w:fldChar w:fldCharType="end"/>
      </w:r>
    </w:p>
  </w:footnote>
  <w:footnote w:id="46">
    <w:p w14:paraId="4E9599E9" w14:textId="2AD549F3" w:rsidR="00E42703" w:rsidRPr="00F43C8B" w:rsidRDefault="00E42703">
      <w:pPr>
        <w:pStyle w:val="FootnoteText"/>
      </w:pPr>
      <w:r w:rsidRPr="00F43C8B">
        <w:rPr>
          <w:rStyle w:val="FootnoteReference"/>
        </w:rPr>
        <w:footnoteRef/>
      </w:r>
      <w:r w:rsidRPr="00F43C8B">
        <w:t xml:space="preserve"> </w:t>
      </w:r>
      <w:r>
        <w:fldChar w:fldCharType="begin" w:fldLock="1"/>
      </w:r>
      <w:r w:rsidR="00BA50A7">
        <w:instrText>ADDIN CSL_CITATION {"citationItems":[{"id":"ITEM-1","itemData":{"author":[{"dropping-particle":"","family":"Flannery","given":"Austin","non-dropping-particle":"","parse-names":false,"suffix":""}],"container-title":"The basic sixteen documents: Vatican Council II (A completely revised translation in inclusive language)","id":"ITEM-1","issued":{"date-parts":[["1996"]]},"page":"403-442","publisher":"Costello Publishing Company","publisher-place":"Northport, New York","title":"Apostolicam actuositatem","type":"chapter"},"uris":["http://www.mendeley.com/documents/?uuid=20086f05-506d-4b8f-8e8d-1175adf98150"]}],"mendeley":{"formattedCitation":"Flannery, “Apostolicam Actuositatem.”","manualFormatting":"Flannery, “Apostolicam Actuositatem,”","plainTextFormattedCitation":"Flannery, “Apostolicam Actuositatem.”","previouslyFormattedCitation":"Flannery, “Apostolicam Actuositatem.”"},"properties":{"noteIndex":46},"schema":"https://github.com/citation-style-language/schema/raw/master/csl-citation.json"}</w:instrText>
      </w:r>
      <w:r>
        <w:fldChar w:fldCharType="separate"/>
      </w:r>
      <w:r w:rsidRPr="00F43C8B">
        <w:rPr>
          <w:noProof/>
        </w:rPr>
        <w:t>Flannery, “Apostolicam Actuositatem</w:t>
      </w:r>
      <w:r>
        <w:rPr>
          <w:noProof/>
        </w:rPr>
        <w:t>,</w:t>
      </w:r>
      <w:r w:rsidRPr="00F43C8B">
        <w:rPr>
          <w:noProof/>
        </w:rPr>
        <w:t>”</w:t>
      </w:r>
      <w:r>
        <w:fldChar w:fldCharType="end"/>
      </w:r>
      <w:r>
        <w:t xml:space="preserve"> 29.</w:t>
      </w:r>
    </w:p>
  </w:footnote>
  <w:footnote w:id="47">
    <w:p w14:paraId="65137C72" w14:textId="0D208AF1" w:rsidR="00E42703" w:rsidRDefault="00E42703">
      <w:pPr>
        <w:pStyle w:val="FootnoteText"/>
      </w:pPr>
      <w:r>
        <w:rPr>
          <w:rStyle w:val="FootnoteReference"/>
        </w:rPr>
        <w:footnoteRef/>
      </w:r>
      <w:r>
        <w:t xml:space="preserve"> Paraphrase list BL quote</w:t>
      </w:r>
    </w:p>
  </w:footnote>
  <w:footnote w:id="48">
    <w:p w14:paraId="5D42065D" w14:textId="7F3AE451" w:rsidR="00E42703" w:rsidRPr="008F24E2" w:rsidRDefault="00E42703" w:rsidP="00AD6BE4">
      <w:pPr>
        <w:pStyle w:val="FootnoteText"/>
        <w:rPr>
          <w:color w:val="FF0000"/>
        </w:rPr>
      </w:pPr>
      <w:r>
        <w:rPr>
          <w:rStyle w:val="FootnoteReference"/>
        </w:rPr>
        <w:footnoteRef/>
      </w:r>
      <w:r>
        <w:t xml:space="preserve"> </w:t>
      </w:r>
      <w:r>
        <w:fldChar w:fldCharType="begin" w:fldLock="1"/>
      </w:r>
      <w:r w:rsidR="00180941">
        <w:instrText>ADDIN CSL_CITATION {"citationItems":[{"id":"ITEM-1","itemData":{"author":[{"dropping-particle":"","family":"Evans","given":"G. R.","non-dropping-particle":"","parse-names":false,"suffix":""}],"id":"ITEM-1","issued":{"date-parts":[["1996"]]},"publisher":"Cambridge University Press","publisher-place":"Cambridge","title":"Method in Ecumenical Theology: The Lessons So Far","type":"book"},"uris":["http://www.mendeley.com/documents/?uuid=548d7ae5-f514-4520-a79e-13d4c7512357"]}],"mendeley":{"formattedCitation":"G. R. Evans, &lt;i&gt;Method in Ecumenical Theology: The Lessons So Far&lt;/i&gt; (Cambridge: Cambridge University Press, 1996).","manualFormatting":"G. R. Evans, Method in Ecumenical Theology: The Lessons So Far (Cambridge: Cambridge University Press, 1996), 160.","plainTextFormattedCitation":"G. R. Evans, Method in Ecumenical Theology: The Lessons So Far (Cambridge: Cambridge University Press, 1996).","previouslyFormattedCitation":"G. R. Evans, &lt;i&gt;Method in Ecumenical Theology: The Lessons So Far&lt;/i&gt; (Cambridge: Cambridge University Press, 1996)."},"properties":{"noteIndex":48},"schema":"https://github.com/citation-style-language/schema/raw/master/csl-citation.json"}</w:instrText>
      </w:r>
      <w:r>
        <w:fldChar w:fldCharType="separate"/>
      </w:r>
      <w:r w:rsidRPr="008F24E2">
        <w:rPr>
          <w:noProof/>
        </w:rPr>
        <w:t xml:space="preserve">G. R. Evans, </w:t>
      </w:r>
      <w:r w:rsidRPr="008F24E2">
        <w:rPr>
          <w:i/>
          <w:noProof/>
        </w:rPr>
        <w:t>Method in Ecumenical Theology: The Lessons So Far</w:t>
      </w:r>
      <w:r w:rsidRPr="008F24E2">
        <w:rPr>
          <w:noProof/>
        </w:rPr>
        <w:t xml:space="preserve"> (Cambridge: Cambridge University Press, 1996)</w:t>
      </w:r>
      <w:r>
        <w:rPr>
          <w:noProof/>
        </w:rPr>
        <w:t>, 160</w:t>
      </w:r>
      <w:r w:rsidRPr="008F24E2">
        <w:rPr>
          <w:noProof/>
        </w:rPr>
        <w:t>.</w:t>
      </w:r>
      <w:r>
        <w:fldChar w:fldCharType="end"/>
      </w:r>
    </w:p>
  </w:footnote>
  <w:footnote w:id="49">
    <w:p w14:paraId="2E9C14A2" w14:textId="05AC75B3" w:rsidR="00EF2FCC" w:rsidRPr="00EF2FCC" w:rsidRDefault="00EF2FCC" w:rsidP="00EF2FCC">
      <w:pPr>
        <w:pStyle w:val="FootnoteText"/>
      </w:pPr>
      <w:r w:rsidRPr="00EF2FCC">
        <w:rPr>
          <w:rStyle w:val="FootnoteReference"/>
        </w:rPr>
        <w:footnoteRef/>
      </w:r>
      <w:r w:rsidRPr="00EF2FCC">
        <w:fldChar w:fldCharType="begin" w:fldLock="1"/>
      </w:r>
      <w:r w:rsidR="00FD0196">
        <w:instrText>ADDIN CSL_CITATION {"citationItems":[{"id":"ITEM-1","itemData":{"author":[{"dropping-particle":"","family":"Lonergan","given":"Bernard","non-dropping-particle":"","parse-names":false,"suffix":""}],"id":"ITEM-1","issued":{"date-parts":[["1971"]]},"publisher":"University of Toronto Press","publisher-place":"Toronto","title":"Method in Theology","type":"book"},"uris":["http://www.mendeley.com/documents/?uuid=ca6dc711-09ee-4e28-b5ec-2eb9ea3159dd"]}],"mendeley":{"formattedCitation":"Bernard Lonergan, &lt;i&gt;Method in Theology&lt;/i&gt; (Toronto: University of Toronto Press, 1971).","manualFormatting":"Bernard Lonergan, Method in Theology (Toronto: University of Toronto Press, 1971), 368.","plainTextFormattedCitation":"Bernard Lonergan, Method in Theology (Toronto: University of Toronto Press, 1971).","previouslyFormattedCitation":"Bernard Lonergan, &lt;i&gt;Method in Theology&lt;/i&gt; (Toronto: University of Toronto Press, 1971)."},"properties":{"noteIndex":49},"schema":"https://github.com/citation-style-language/schema/raw/master/csl-citation.json"}</w:instrText>
      </w:r>
      <w:r w:rsidRPr="00EF2FCC">
        <w:fldChar w:fldCharType="separate"/>
      </w:r>
      <w:r w:rsidRPr="00EF2FCC">
        <w:rPr>
          <w:noProof/>
        </w:rPr>
        <w:t xml:space="preserve">Bernard Lonergan, </w:t>
      </w:r>
      <w:r w:rsidRPr="00EF2FCC">
        <w:rPr>
          <w:i/>
          <w:noProof/>
        </w:rPr>
        <w:t>Method in Theology</w:t>
      </w:r>
      <w:r w:rsidRPr="00EF2FCC">
        <w:rPr>
          <w:noProof/>
        </w:rPr>
        <w:t xml:space="preserve"> (Toronto: University of Toronto Press, 1971),</w:t>
      </w:r>
      <w:r>
        <w:rPr>
          <w:noProof/>
        </w:rPr>
        <w:t xml:space="preserve"> </w:t>
      </w:r>
      <w:r w:rsidRPr="00EF2FCC">
        <w:rPr>
          <w:noProof/>
        </w:rPr>
        <w:t>368.</w:t>
      </w:r>
      <w:r w:rsidRPr="00EF2FCC">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4F09" w14:textId="4A43E7D5" w:rsidR="00E42703" w:rsidRDefault="00E42703">
    <w:pPr>
      <w:pStyle w:val="Header"/>
    </w:pPr>
    <w:r>
      <w:t>Local Ecumenism: A Primer</w:t>
    </w:r>
  </w:p>
  <w:p w14:paraId="4A2E9C58" w14:textId="77777777" w:rsidR="00E42703" w:rsidRDefault="00E4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90"/>
    <w:multiLevelType w:val="hybridMultilevel"/>
    <w:tmpl w:val="FE967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56D25"/>
    <w:multiLevelType w:val="hybridMultilevel"/>
    <w:tmpl w:val="C3A40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F7420"/>
    <w:multiLevelType w:val="hybridMultilevel"/>
    <w:tmpl w:val="7EE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5BB3"/>
    <w:multiLevelType w:val="hybridMultilevel"/>
    <w:tmpl w:val="3198E1CA"/>
    <w:lvl w:ilvl="0" w:tplc="EE2A5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A14E5"/>
    <w:multiLevelType w:val="hybridMultilevel"/>
    <w:tmpl w:val="D09A6024"/>
    <w:lvl w:ilvl="0" w:tplc="13A4FF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06812"/>
    <w:multiLevelType w:val="hybridMultilevel"/>
    <w:tmpl w:val="AC8CFF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463D3B"/>
    <w:multiLevelType w:val="hybridMultilevel"/>
    <w:tmpl w:val="3754E644"/>
    <w:lvl w:ilvl="0" w:tplc="6A12A4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463A52"/>
    <w:multiLevelType w:val="hybridMultilevel"/>
    <w:tmpl w:val="7964874A"/>
    <w:lvl w:ilvl="0" w:tplc="E2A43C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486A8A"/>
    <w:multiLevelType w:val="hybridMultilevel"/>
    <w:tmpl w:val="370E5C62"/>
    <w:lvl w:ilvl="0" w:tplc="945A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D40B9E"/>
    <w:multiLevelType w:val="hybridMultilevel"/>
    <w:tmpl w:val="AC2E0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5453C"/>
    <w:multiLevelType w:val="hybridMultilevel"/>
    <w:tmpl w:val="932C906A"/>
    <w:lvl w:ilvl="0" w:tplc="77FEF1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0D0D1E"/>
    <w:multiLevelType w:val="hybridMultilevel"/>
    <w:tmpl w:val="BA96B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FE0B67"/>
    <w:multiLevelType w:val="hybridMultilevel"/>
    <w:tmpl w:val="5AD62F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2C6C06"/>
    <w:multiLevelType w:val="hybridMultilevel"/>
    <w:tmpl w:val="4CA6ED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8452FB"/>
    <w:multiLevelType w:val="hybridMultilevel"/>
    <w:tmpl w:val="3754E644"/>
    <w:lvl w:ilvl="0" w:tplc="6A12A4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11"/>
  </w:num>
  <w:num w:numId="4">
    <w:abstractNumId w:val="9"/>
  </w:num>
  <w:num w:numId="5">
    <w:abstractNumId w:val="4"/>
  </w:num>
  <w:num w:numId="6">
    <w:abstractNumId w:val="13"/>
  </w:num>
  <w:num w:numId="7">
    <w:abstractNumId w:val="14"/>
  </w:num>
  <w:num w:numId="8">
    <w:abstractNumId w:val="7"/>
  </w:num>
  <w:num w:numId="9">
    <w:abstractNumId w:val="0"/>
  </w:num>
  <w:num w:numId="10">
    <w:abstractNumId w:val="10"/>
  </w:num>
  <w:num w:numId="11">
    <w:abstractNumId w:val="6"/>
  </w:num>
  <w:num w:numId="12">
    <w:abstractNumId w:val="8"/>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C8"/>
    <w:rsid w:val="00004716"/>
    <w:rsid w:val="0002401A"/>
    <w:rsid w:val="00044202"/>
    <w:rsid w:val="00046807"/>
    <w:rsid w:val="0005394F"/>
    <w:rsid w:val="00055F70"/>
    <w:rsid w:val="00071239"/>
    <w:rsid w:val="00073ACB"/>
    <w:rsid w:val="00074424"/>
    <w:rsid w:val="000773D9"/>
    <w:rsid w:val="00087700"/>
    <w:rsid w:val="00087A28"/>
    <w:rsid w:val="00092F06"/>
    <w:rsid w:val="0009518F"/>
    <w:rsid w:val="00096F55"/>
    <w:rsid w:val="0009749D"/>
    <w:rsid w:val="000A57FF"/>
    <w:rsid w:val="000C50DA"/>
    <w:rsid w:val="000C52B1"/>
    <w:rsid w:val="000D7290"/>
    <w:rsid w:val="000E48E5"/>
    <w:rsid w:val="0010268E"/>
    <w:rsid w:val="001127AB"/>
    <w:rsid w:val="001227FE"/>
    <w:rsid w:val="0013594F"/>
    <w:rsid w:val="00135CA8"/>
    <w:rsid w:val="00137E1D"/>
    <w:rsid w:val="0015365D"/>
    <w:rsid w:val="0016466B"/>
    <w:rsid w:val="00176AE3"/>
    <w:rsid w:val="00180858"/>
    <w:rsid w:val="00180941"/>
    <w:rsid w:val="00183D05"/>
    <w:rsid w:val="00185C5B"/>
    <w:rsid w:val="00186140"/>
    <w:rsid w:val="00193A58"/>
    <w:rsid w:val="00197BF7"/>
    <w:rsid w:val="001A11B2"/>
    <w:rsid w:val="001A1E0B"/>
    <w:rsid w:val="001A496E"/>
    <w:rsid w:val="001A6F07"/>
    <w:rsid w:val="001C23CE"/>
    <w:rsid w:val="001C7ACF"/>
    <w:rsid w:val="001C7D83"/>
    <w:rsid w:val="001D1C82"/>
    <w:rsid w:val="001D6719"/>
    <w:rsid w:val="001E0A17"/>
    <w:rsid w:val="001E143F"/>
    <w:rsid w:val="001E42E5"/>
    <w:rsid w:val="001F76A7"/>
    <w:rsid w:val="00201925"/>
    <w:rsid w:val="002057D3"/>
    <w:rsid w:val="00211523"/>
    <w:rsid w:val="002145B5"/>
    <w:rsid w:val="00216D8D"/>
    <w:rsid w:val="002266C8"/>
    <w:rsid w:val="00226C5E"/>
    <w:rsid w:val="00254D93"/>
    <w:rsid w:val="00262DFD"/>
    <w:rsid w:val="002645F6"/>
    <w:rsid w:val="002732EE"/>
    <w:rsid w:val="00273D52"/>
    <w:rsid w:val="00292A19"/>
    <w:rsid w:val="002A1BFA"/>
    <w:rsid w:val="002A4EBE"/>
    <w:rsid w:val="002B17DD"/>
    <w:rsid w:val="002B26E4"/>
    <w:rsid w:val="002C656D"/>
    <w:rsid w:val="002D098F"/>
    <w:rsid w:val="002D7921"/>
    <w:rsid w:val="002E329D"/>
    <w:rsid w:val="002E3CC3"/>
    <w:rsid w:val="002E5C8A"/>
    <w:rsid w:val="002F3B8A"/>
    <w:rsid w:val="00307003"/>
    <w:rsid w:val="00310024"/>
    <w:rsid w:val="0031246A"/>
    <w:rsid w:val="0031398B"/>
    <w:rsid w:val="0033577A"/>
    <w:rsid w:val="0034000F"/>
    <w:rsid w:val="003401CD"/>
    <w:rsid w:val="003468E7"/>
    <w:rsid w:val="00347554"/>
    <w:rsid w:val="00350AE7"/>
    <w:rsid w:val="003654B2"/>
    <w:rsid w:val="003657F3"/>
    <w:rsid w:val="00370CA9"/>
    <w:rsid w:val="0037130F"/>
    <w:rsid w:val="003713D0"/>
    <w:rsid w:val="00381099"/>
    <w:rsid w:val="00381ECC"/>
    <w:rsid w:val="00383E1C"/>
    <w:rsid w:val="0039136A"/>
    <w:rsid w:val="00392949"/>
    <w:rsid w:val="0039499B"/>
    <w:rsid w:val="003B6752"/>
    <w:rsid w:val="003B7279"/>
    <w:rsid w:val="003C0261"/>
    <w:rsid w:val="003C2E76"/>
    <w:rsid w:val="003C37E4"/>
    <w:rsid w:val="003D3A7F"/>
    <w:rsid w:val="003D6B73"/>
    <w:rsid w:val="003E178F"/>
    <w:rsid w:val="003E5EAF"/>
    <w:rsid w:val="003E6C46"/>
    <w:rsid w:val="003F320C"/>
    <w:rsid w:val="003F5261"/>
    <w:rsid w:val="00407607"/>
    <w:rsid w:val="00421402"/>
    <w:rsid w:val="00424A5C"/>
    <w:rsid w:val="00425C0D"/>
    <w:rsid w:val="0043272C"/>
    <w:rsid w:val="00435B04"/>
    <w:rsid w:val="00444A52"/>
    <w:rsid w:val="004464C3"/>
    <w:rsid w:val="004506CA"/>
    <w:rsid w:val="00450A7D"/>
    <w:rsid w:val="0045364D"/>
    <w:rsid w:val="00453747"/>
    <w:rsid w:val="004551C5"/>
    <w:rsid w:val="00471DD5"/>
    <w:rsid w:val="00484167"/>
    <w:rsid w:val="004845AD"/>
    <w:rsid w:val="00485802"/>
    <w:rsid w:val="004860A0"/>
    <w:rsid w:val="00490BA2"/>
    <w:rsid w:val="0049378F"/>
    <w:rsid w:val="004A5620"/>
    <w:rsid w:val="004B0A88"/>
    <w:rsid w:val="004C221A"/>
    <w:rsid w:val="004C2892"/>
    <w:rsid w:val="004C2EF5"/>
    <w:rsid w:val="004D2910"/>
    <w:rsid w:val="004D6938"/>
    <w:rsid w:val="004E343B"/>
    <w:rsid w:val="004E7ACC"/>
    <w:rsid w:val="004F4338"/>
    <w:rsid w:val="005002E6"/>
    <w:rsid w:val="00510797"/>
    <w:rsid w:val="00515C91"/>
    <w:rsid w:val="00522D9E"/>
    <w:rsid w:val="0053093D"/>
    <w:rsid w:val="0053316D"/>
    <w:rsid w:val="0053500F"/>
    <w:rsid w:val="005432D8"/>
    <w:rsid w:val="00544405"/>
    <w:rsid w:val="00546F17"/>
    <w:rsid w:val="00550853"/>
    <w:rsid w:val="005529C4"/>
    <w:rsid w:val="00553661"/>
    <w:rsid w:val="00554446"/>
    <w:rsid w:val="00555BA2"/>
    <w:rsid w:val="00565455"/>
    <w:rsid w:val="00583617"/>
    <w:rsid w:val="005839BB"/>
    <w:rsid w:val="00586D76"/>
    <w:rsid w:val="00587802"/>
    <w:rsid w:val="00590CAC"/>
    <w:rsid w:val="00594F73"/>
    <w:rsid w:val="005B048F"/>
    <w:rsid w:val="005B496A"/>
    <w:rsid w:val="005E0240"/>
    <w:rsid w:val="005E2C2E"/>
    <w:rsid w:val="005E36ED"/>
    <w:rsid w:val="005F2D83"/>
    <w:rsid w:val="005F537A"/>
    <w:rsid w:val="00611294"/>
    <w:rsid w:val="00617655"/>
    <w:rsid w:val="006218A0"/>
    <w:rsid w:val="00625108"/>
    <w:rsid w:val="00631C1C"/>
    <w:rsid w:val="00634CBB"/>
    <w:rsid w:val="00634FDA"/>
    <w:rsid w:val="00635070"/>
    <w:rsid w:val="0064270D"/>
    <w:rsid w:val="00657DE0"/>
    <w:rsid w:val="00662357"/>
    <w:rsid w:val="0067171C"/>
    <w:rsid w:val="00683AF8"/>
    <w:rsid w:val="006852F6"/>
    <w:rsid w:val="006907B0"/>
    <w:rsid w:val="00691B0B"/>
    <w:rsid w:val="006933AD"/>
    <w:rsid w:val="00696B08"/>
    <w:rsid w:val="00697979"/>
    <w:rsid w:val="00697E48"/>
    <w:rsid w:val="006A0F60"/>
    <w:rsid w:val="006B1AC6"/>
    <w:rsid w:val="006B2A02"/>
    <w:rsid w:val="006B51AD"/>
    <w:rsid w:val="006C2A6C"/>
    <w:rsid w:val="006D465E"/>
    <w:rsid w:val="006D6FDF"/>
    <w:rsid w:val="006E7CA8"/>
    <w:rsid w:val="006F475B"/>
    <w:rsid w:val="0072120B"/>
    <w:rsid w:val="00721AFB"/>
    <w:rsid w:val="007271AB"/>
    <w:rsid w:val="00735B47"/>
    <w:rsid w:val="00755FC7"/>
    <w:rsid w:val="00756786"/>
    <w:rsid w:val="00765B5B"/>
    <w:rsid w:val="007802AC"/>
    <w:rsid w:val="00781DEA"/>
    <w:rsid w:val="007A004A"/>
    <w:rsid w:val="007A2233"/>
    <w:rsid w:val="007B1D53"/>
    <w:rsid w:val="007B5840"/>
    <w:rsid w:val="007C133C"/>
    <w:rsid w:val="007C41A7"/>
    <w:rsid w:val="007C481A"/>
    <w:rsid w:val="007E1A2C"/>
    <w:rsid w:val="007E1BC2"/>
    <w:rsid w:val="007F1C0D"/>
    <w:rsid w:val="007F7338"/>
    <w:rsid w:val="00801160"/>
    <w:rsid w:val="00803C71"/>
    <w:rsid w:val="00807796"/>
    <w:rsid w:val="00814E0F"/>
    <w:rsid w:val="00820D4B"/>
    <w:rsid w:val="00824886"/>
    <w:rsid w:val="008265F0"/>
    <w:rsid w:val="00827F1A"/>
    <w:rsid w:val="00854DAC"/>
    <w:rsid w:val="008713C5"/>
    <w:rsid w:val="008748C0"/>
    <w:rsid w:val="0088023D"/>
    <w:rsid w:val="00881F0C"/>
    <w:rsid w:val="00882D4A"/>
    <w:rsid w:val="00890A99"/>
    <w:rsid w:val="008A2049"/>
    <w:rsid w:val="008A28F5"/>
    <w:rsid w:val="008B27DA"/>
    <w:rsid w:val="008B3157"/>
    <w:rsid w:val="008B511C"/>
    <w:rsid w:val="008C5442"/>
    <w:rsid w:val="008D78D9"/>
    <w:rsid w:val="008E6F12"/>
    <w:rsid w:val="008E7481"/>
    <w:rsid w:val="008E7F17"/>
    <w:rsid w:val="008F0598"/>
    <w:rsid w:val="008F0DCB"/>
    <w:rsid w:val="008F24E2"/>
    <w:rsid w:val="0091301E"/>
    <w:rsid w:val="00920FB5"/>
    <w:rsid w:val="00935A70"/>
    <w:rsid w:val="00935AB6"/>
    <w:rsid w:val="00936004"/>
    <w:rsid w:val="00941ABD"/>
    <w:rsid w:val="009526E3"/>
    <w:rsid w:val="009561B1"/>
    <w:rsid w:val="00963FD3"/>
    <w:rsid w:val="00974AD0"/>
    <w:rsid w:val="009760FD"/>
    <w:rsid w:val="00987288"/>
    <w:rsid w:val="009912EC"/>
    <w:rsid w:val="00995339"/>
    <w:rsid w:val="009A2649"/>
    <w:rsid w:val="009A6161"/>
    <w:rsid w:val="009A6184"/>
    <w:rsid w:val="009A7389"/>
    <w:rsid w:val="009C646F"/>
    <w:rsid w:val="009D46C0"/>
    <w:rsid w:val="009E1DCB"/>
    <w:rsid w:val="009F3750"/>
    <w:rsid w:val="009F6E0F"/>
    <w:rsid w:val="00A15584"/>
    <w:rsid w:val="00A16A70"/>
    <w:rsid w:val="00A27666"/>
    <w:rsid w:val="00A35C95"/>
    <w:rsid w:val="00A40CCA"/>
    <w:rsid w:val="00A44E56"/>
    <w:rsid w:val="00A61FD4"/>
    <w:rsid w:val="00A63767"/>
    <w:rsid w:val="00A66EB7"/>
    <w:rsid w:val="00A80AF0"/>
    <w:rsid w:val="00A86321"/>
    <w:rsid w:val="00A94EAF"/>
    <w:rsid w:val="00AA2B1B"/>
    <w:rsid w:val="00AC0D0B"/>
    <w:rsid w:val="00AC43C5"/>
    <w:rsid w:val="00AD4766"/>
    <w:rsid w:val="00AD6BE4"/>
    <w:rsid w:val="00AD6C57"/>
    <w:rsid w:val="00AE5FD9"/>
    <w:rsid w:val="00AE715B"/>
    <w:rsid w:val="00AF0EDB"/>
    <w:rsid w:val="00AF6DB9"/>
    <w:rsid w:val="00B03069"/>
    <w:rsid w:val="00B10069"/>
    <w:rsid w:val="00B129E2"/>
    <w:rsid w:val="00B20026"/>
    <w:rsid w:val="00B322DB"/>
    <w:rsid w:val="00B42645"/>
    <w:rsid w:val="00B42C53"/>
    <w:rsid w:val="00B445E8"/>
    <w:rsid w:val="00B44D65"/>
    <w:rsid w:val="00B80626"/>
    <w:rsid w:val="00B8443D"/>
    <w:rsid w:val="00B9299D"/>
    <w:rsid w:val="00B955DF"/>
    <w:rsid w:val="00B97D00"/>
    <w:rsid w:val="00BA0A05"/>
    <w:rsid w:val="00BA28FA"/>
    <w:rsid w:val="00BA50A7"/>
    <w:rsid w:val="00BA66D5"/>
    <w:rsid w:val="00BB5F81"/>
    <w:rsid w:val="00BC01B2"/>
    <w:rsid w:val="00BF06BE"/>
    <w:rsid w:val="00BF327F"/>
    <w:rsid w:val="00BF581B"/>
    <w:rsid w:val="00BF6326"/>
    <w:rsid w:val="00BF6D5F"/>
    <w:rsid w:val="00C03D99"/>
    <w:rsid w:val="00C07C74"/>
    <w:rsid w:val="00C2592B"/>
    <w:rsid w:val="00C27A5B"/>
    <w:rsid w:val="00C358A6"/>
    <w:rsid w:val="00C35A05"/>
    <w:rsid w:val="00C4512F"/>
    <w:rsid w:val="00C470D2"/>
    <w:rsid w:val="00C501B2"/>
    <w:rsid w:val="00C71437"/>
    <w:rsid w:val="00C73071"/>
    <w:rsid w:val="00C764EF"/>
    <w:rsid w:val="00C77932"/>
    <w:rsid w:val="00C80513"/>
    <w:rsid w:val="00C83101"/>
    <w:rsid w:val="00C862CA"/>
    <w:rsid w:val="00C8684C"/>
    <w:rsid w:val="00C87C85"/>
    <w:rsid w:val="00C90C14"/>
    <w:rsid w:val="00C91611"/>
    <w:rsid w:val="00C920E3"/>
    <w:rsid w:val="00C946C9"/>
    <w:rsid w:val="00C94AB6"/>
    <w:rsid w:val="00CA1085"/>
    <w:rsid w:val="00CA15DE"/>
    <w:rsid w:val="00CA404D"/>
    <w:rsid w:val="00CA4D0A"/>
    <w:rsid w:val="00CA6839"/>
    <w:rsid w:val="00CB1ECC"/>
    <w:rsid w:val="00CB58A8"/>
    <w:rsid w:val="00CB5B73"/>
    <w:rsid w:val="00CB6A05"/>
    <w:rsid w:val="00CD0E39"/>
    <w:rsid w:val="00CD581B"/>
    <w:rsid w:val="00CE0E2F"/>
    <w:rsid w:val="00CE3574"/>
    <w:rsid w:val="00CE44B8"/>
    <w:rsid w:val="00CF61FA"/>
    <w:rsid w:val="00CF7EC9"/>
    <w:rsid w:val="00D00CF6"/>
    <w:rsid w:val="00D043AD"/>
    <w:rsid w:val="00D0579E"/>
    <w:rsid w:val="00D1028D"/>
    <w:rsid w:val="00D15C55"/>
    <w:rsid w:val="00D17998"/>
    <w:rsid w:val="00D21849"/>
    <w:rsid w:val="00D267D5"/>
    <w:rsid w:val="00D27747"/>
    <w:rsid w:val="00D44A50"/>
    <w:rsid w:val="00D46AB9"/>
    <w:rsid w:val="00D50637"/>
    <w:rsid w:val="00D53248"/>
    <w:rsid w:val="00D55696"/>
    <w:rsid w:val="00D56A68"/>
    <w:rsid w:val="00D56BD9"/>
    <w:rsid w:val="00D6063A"/>
    <w:rsid w:val="00D6233A"/>
    <w:rsid w:val="00D6707D"/>
    <w:rsid w:val="00D70D20"/>
    <w:rsid w:val="00D70E70"/>
    <w:rsid w:val="00D8661D"/>
    <w:rsid w:val="00D92DFE"/>
    <w:rsid w:val="00D933C8"/>
    <w:rsid w:val="00D94086"/>
    <w:rsid w:val="00D94426"/>
    <w:rsid w:val="00DA1351"/>
    <w:rsid w:val="00DA26F4"/>
    <w:rsid w:val="00DA2E32"/>
    <w:rsid w:val="00DA6624"/>
    <w:rsid w:val="00DB3ADE"/>
    <w:rsid w:val="00DB46CC"/>
    <w:rsid w:val="00DD257A"/>
    <w:rsid w:val="00DD2A7C"/>
    <w:rsid w:val="00DE45B1"/>
    <w:rsid w:val="00DE524A"/>
    <w:rsid w:val="00DE725D"/>
    <w:rsid w:val="00DF5EAD"/>
    <w:rsid w:val="00E0028A"/>
    <w:rsid w:val="00E003EF"/>
    <w:rsid w:val="00E038DF"/>
    <w:rsid w:val="00E128C1"/>
    <w:rsid w:val="00E12BAF"/>
    <w:rsid w:val="00E2233C"/>
    <w:rsid w:val="00E24A89"/>
    <w:rsid w:val="00E25A58"/>
    <w:rsid w:val="00E266F3"/>
    <w:rsid w:val="00E32D77"/>
    <w:rsid w:val="00E33A94"/>
    <w:rsid w:val="00E42703"/>
    <w:rsid w:val="00E52149"/>
    <w:rsid w:val="00E647B4"/>
    <w:rsid w:val="00E67FE0"/>
    <w:rsid w:val="00E701CB"/>
    <w:rsid w:val="00E80EFA"/>
    <w:rsid w:val="00E860D4"/>
    <w:rsid w:val="00E92424"/>
    <w:rsid w:val="00EA1503"/>
    <w:rsid w:val="00EA7557"/>
    <w:rsid w:val="00EB0F5E"/>
    <w:rsid w:val="00EB4A20"/>
    <w:rsid w:val="00EB577D"/>
    <w:rsid w:val="00EB7D07"/>
    <w:rsid w:val="00EC19F0"/>
    <w:rsid w:val="00EC72CA"/>
    <w:rsid w:val="00EF053A"/>
    <w:rsid w:val="00EF2FCC"/>
    <w:rsid w:val="00F036A5"/>
    <w:rsid w:val="00F0458A"/>
    <w:rsid w:val="00F07788"/>
    <w:rsid w:val="00F17B38"/>
    <w:rsid w:val="00F40FBB"/>
    <w:rsid w:val="00F43C8B"/>
    <w:rsid w:val="00F47225"/>
    <w:rsid w:val="00F5148B"/>
    <w:rsid w:val="00F526A1"/>
    <w:rsid w:val="00F60009"/>
    <w:rsid w:val="00F677E9"/>
    <w:rsid w:val="00F75F50"/>
    <w:rsid w:val="00F82F0A"/>
    <w:rsid w:val="00F845C6"/>
    <w:rsid w:val="00F90CAD"/>
    <w:rsid w:val="00F91ABF"/>
    <w:rsid w:val="00F92915"/>
    <w:rsid w:val="00F96B29"/>
    <w:rsid w:val="00FA0E4F"/>
    <w:rsid w:val="00FA27AE"/>
    <w:rsid w:val="00FA2974"/>
    <w:rsid w:val="00FA5C0F"/>
    <w:rsid w:val="00FA5ECE"/>
    <w:rsid w:val="00FB0354"/>
    <w:rsid w:val="00FB6B8D"/>
    <w:rsid w:val="00FC1237"/>
    <w:rsid w:val="00FC155E"/>
    <w:rsid w:val="00FC1DDE"/>
    <w:rsid w:val="00FC51D8"/>
    <w:rsid w:val="00FD0196"/>
    <w:rsid w:val="00FD612A"/>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84A3"/>
  <w15:chartTrackingRefBased/>
  <w15:docId w15:val="{81A8EE04-64A7-4606-B1A8-C2BDAECC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321"/>
  </w:style>
  <w:style w:type="paragraph" w:styleId="Heading1">
    <w:name w:val="heading 1"/>
    <w:basedOn w:val="Normal"/>
    <w:next w:val="Normal"/>
    <w:link w:val="Heading1Char"/>
    <w:uiPriority w:val="9"/>
    <w:qFormat/>
    <w:rsid w:val="00F92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C8"/>
    <w:pPr>
      <w:ind w:left="720"/>
      <w:contextualSpacing/>
    </w:pPr>
  </w:style>
  <w:style w:type="paragraph" w:styleId="Title">
    <w:name w:val="Title"/>
    <w:basedOn w:val="Normal"/>
    <w:next w:val="Normal"/>
    <w:link w:val="TitleChar"/>
    <w:uiPriority w:val="10"/>
    <w:qFormat/>
    <w:rsid w:val="00C25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9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4C3"/>
  </w:style>
  <w:style w:type="paragraph" w:styleId="Footer">
    <w:name w:val="footer"/>
    <w:basedOn w:val="Normal"/>
    <w:link w:val="FooterChar"/>
    <w:uiPriority w:val="99"/>
    <w:unhideWhenUsed/>
    <w:rsid w:val="0044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4C3"/>
  </w:style>
  <w:style w:type="paragraph" w:styleId="FootnoteText">
    <w:name w:val="footnote text"/>
    <w:basedOn w:val="Normal"/>
    <w:link w:val="FootnoteTextChar"/>
    <w:uiPriority w:val="99"/>
    <w:semiHidden/>
    <w:unhideWhenUsed/>
    <w:rsid w:val="00976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FD"/>
    <w:rPr>
      <w:sz w:val="20"/>
      <w:szCs w:val="20"/>
    </w:rPr>
  </w:style>
  <w:style w:type="character" w:styleId="FootnoteReference">
    <w:name w:val="footnote reference"/>
    <w:basedOn w:val="DefaultParagraphFont"/>
    <w:uiPriority w:val="99"/>
    <w:semiHidden/>
    <w:unhideWhenUsed/>
    <w:rsid w:val="009760FD"/>
    <w:rPr>
      <w:vertAlign w:val="superscript"/>
    </w:rPr>
  </w:style>
  <w:style w:type="character" w:customStyle="1" w:styleId="Heading1Char">
    <w:name w:val="Heading 1 Char"/>
    <w:basedOn w:val="DefaultParagraphFont"/>
    <w:link w:val="Heading1"/>
    <w:uiPriority w:val="9"/>
    <w:rsid w:val="00F929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D9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96B29"/>
    <w:pPr>
      <w:tabs>
        <w:tab w:val="right" w:leader="dot" w:pos="9350"/>
      </w:tabs>
      <w:spacing w:after="100"/>
    </w:pPr>
    <w:rPr>
      <w:rFonts w:ascii="Book Antiqua" w:eastAsia="Times New Roman" w:hAnsi="Book Antiqua"/>
      <w:noProof/>
    </w:rPr>
  </w:style>
  <w:style w:type="paragraph" w:styleId="TOC2">
    <w:name w:val="toc 2"/>
    <w:basedOn w:val="Normal"/>
    <w:next w:val="Normal"/>
    <w:autoRedefine/>
    <w:uiPriority w:val="39"/>
    <w:unhideWhenUsed/>
    <w:rsid w:val="00F96B29"/>
    <w:pPr>
      <w:spacing w:after="100"/>
      <w:ind w:left="220"/>
    </w:pPr>
  </w:style>
  <w:style w:type="character" w:styleId="Hyperlink">
    <w:name w:val="Hyperlink"/>
    <w:basedOn w:val="DefaultParagraphFont"/>
    <w:uiPriority w:val="99"/>
    <w:unhideWhenUsed/>
    <w:rsid w:val="00F96B29"/>
    <w:rPr>
      <w:color w:val="0563C1" w:themeColor="hyperlink"/>
      <w:u w:val="single"/>
    </w:rPr>
  </w:style>
  <w:style w:type="paragraph" w:styleId="TOCHeading">
    <w:name w:val="TOC Heading"/>
    <w:basedOn w:val="Heading1"/>
    <w:next w:val="Normal"/>
    <w:uiPriority w:val="39"/>
    <w:unhideWhenUsed/>
    <w:qFormat/>
    <w:rsid w:val="00F96B29"/>
    <w:pPr>
      <w:outlineLvl w:val="9"/>
    </w:pPr>
  </w:style>
  <w:style w:type="paragraph" w:styleId="TOC3">
    <w:name w:val="toc 3"/>
    <w:basedOn w:val="Normal"/>
    <w:next w:val="Normal"/>
    <w:autoRedefine/>
    <w:uiPriority w:val="39"/>
    <w:unhideWhenUsed/>
    <w:rsid w:val="00F96B2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28995">
      <w:bodyDiv w:val="1"/>
      <w:marLeft w:val="0"/>
      <w:marRight w:val="0"/>
      <w:marTop w:val="0"/>
      <w:marBottom w:val="0"/>
      <w:divBdr>
        <w:top w:val="none" w:sz="0" w:space="0" w:color="auto"/>
        <w:left w:val="none" w:sz="0" w:space="0" w:color="auto"/>
        <w:bottom w:val="none" w:sz="0" w:space="0" w:color="auto"/>
        <w:right w:val="none" w:sz="0" w:space="0" w:color="auto"/>
      </w:divBdr>
    </w:div>
    <w:div w:id="494221232">
      <w:bodyDiv w:val="1"/>
      <w:marLeft w:val="0"/>
      <w:marRight w:val="0"/>
      <w:marTop w:val="0"/>
      <w:marBottom w:val="0"/>
      <w:divBdr>
        <w:top w:val="none" w:sz="0" w:space="0" w:color="auto"/>
        <w:left w:val="none" w:sz="0" w:space="0" w:color="auto"/>
        <w:bottom w:val="none" w:sz="0" w:space="0" w:color="auto"/>
        <w:right w:val="none" w:sz="0" w:space="0" w:color="auto"/>
      </w:divBdr>
    </w:div>
    <w:div w:id="18041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E3BD-AA78-4432-B931-AE628B49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22928</TotalTime>
  <Pages>32</Pages>
  <Words>9098</Words>
  <Characters>51861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Finch</dc:creator>
  <cp:keywords/>
  <dc:description/>
  <cp:lastModifiedBy>Karen Petersen Finch</cp:lastModifiedBy>
  <cp:revision>114</cp:revision>
  <dcterms:created xsi:type="dcterms:W3CDTF">2018-05-22T09:02:00Z</dcterms:created>
  <dcterms:modified xsi:type="dcterms:W3CDTF">2018-09-05T18:20:00Z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16th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59b5b18d-8b74-3f60-b786-73969a050112</vt:lpwstr>
  </property>
  <property fmtid="{D5CDD505-2E9C-101B-9397-08002B2CF9AE}" pid="24" name="Mendeley Citation Style_1">
    <vt:lpwstr>http://www.zotero.org/styles/chicago-fullnote-bibliography</vt:lpwstr>
  </property>
</Properties>
</file>